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400" w:lineRule="atLeast"/>
        <w:jc w:val="both"/>
        <w:rPr>
          <w:rFonts w:hint="eastAsia" w:ascii="宋体" w:hAnsi="宋体" w:eastAsia="宋体" w:cs="宋体"/>
          <w:b w:val="0"/>
          <w:bCs w:val="0"/>
          <w:sz w:val="32"/>
          <w:szCs w:val="28"/>
          <w:lang w:val="en-US" w:eastAsia="zh-CN"/>
        </w:rPr>
      </w:pPr>
      <w:bookmarkStart w:id="0" w:name="_GoBack"/>
      <w:bookmarkEnd w:id="0"/>
      <w:r>
        <w:rPr>
          <w:rFonts w:hint="eastAsia" w:ascii="宋体" w:hAnsi="宋体" w:eastAsia="宋体" w:cs="宋体"/>
          <w:b w:val="0"/>
          <w:bCs w:val="0"/>
          <w:sz w:val="32"/>
          <w:szCs w:val="28"/>
          <w:lang w:val="en-US" w:eastAsia="zh-CN"/>
        </w:rPr>
        <w:t>附件1 ：资格审查</w:t>
      </w:r>
    </w:p>
    <w:p>
      <w:pPr>
        <w:pStyle w:val="2"/>
        <w:rPr>
          <w:rFonts w:hint="default"/>
          <w:lang w:val="en-US"/>
        </w:rPr>
      </w:pPr>
    </w:p>
    <w:p>
      <w:pPr>
        <w:snapToGrid w:val="0"/>
        <w:spacing w:line="400" w:lineRule="atLeast"/>
        <w:jc w:val="center"/>
        <w:outlineLvl w:val="9"/>
        <w:rPr>
          <w:rFonts w:eastAsia="黑体"/>
          <w:color w:val="auto"/>
          <w:highlight w:val="none"/>
        </w:rPr>
      </w:pPr>
      <w:r>
        <w:rPr>
          <w:rFonts w:hint="eastAsia" w:ascii="微软雅黑" w:hAnsi="微软雅黑" w:eastAsia="微软雅黑" w:cs="微软雅黑"/>
          <w:color w:val="auto"/>
          <w:sz w:val="36"/>
          <w:szCs w:val="36"/>
          <w:highlight w:val="none"/>
        </w:rPr>
        <w:t>附录 资格审查</w:t>
      </w:r>
    </w:p>
    <w:p>
      <w:pPr>
        <w:snapToGrid w:val="0"/>
        <w:spacing w:line="400" w:lineRule="atLeast"/>
        <w:jc w:val="center"/>
        <w:outlineLvl w:val="9"/>
        <w:rPr>
          <w:rFonts w:eastAsia="黑体"/>
          <w:color w:val="auto"/>
          <w:highlight w:val="none"/>
        </w:rPr>
      </w:pPr>
      <w:r>
        <w:rPr>
          <w:rFonts w:eastAsia="黑体"/>
          <w:color w:val="auto"/>
          <w:highlight w:val="none"/>
        </w:rPr>
        <w:t xml:space="preserve"> </w:t>
      </w:r>
      <w:r>
        <w:rPr>
          <w:rFonts w:hint="eastAsia" w:eastAsia="黑体"/>
          <w:color w:val="auto"/>
          <w:highlight w:val="none"/>
        </w:rPr>
        <w:t>（一）</w:t>
      </w:r>
      <w:r>
        <w:rPr>
          <w:rFonts w:eastAsia="黑体"/>
          <w:color w:val="auto"/>
          <w:highlight w:val="none"/>
        </w:rPr>
        <w:t>资格</w:t>
      </w:r>
      <w:r>
        <w:rPr>
          <w:rFonts w:hint="eastAsia" w:eastAsia="黑体"/>
          <w:color w:val="auto"/>
          <w:highlight w:val="none"/>
        </w:rPr>
        <w:t>审查</w:t>
      </w:r>
      <w:r>
        <w:rPr>
          <w:rFonts w:eastAsia="黑体"/>
          <w:color w:val="auto"/>
          <w:highlight w:val="none"/>
        </w:rPr>
        <w:t>条件</w:t>
      </w:r>
      <w:r>
        <w:rPr>
          <w:rFonts w:hint="eastAsia" w:eastAsia="黑体"/>
          <w:color w:val="auto"/>
          <w:highlight w:val="none"/>
        </w:rPr>
        <w:t>（</w:t>
      </w:r>
      <w:r>
        <w:rPr>
          <w:rFonts w:hint="eastAsia" w:eastAsia="黑体"/>
          <w:color w:val="auto"/>
          <w:highlight w:val="none"/>
          <w:lang w:val="en-US" w:eastAsia="zh-CN"/>
        </w:rPr>
        <w:t>能力</w:t>
      </w:r>
      <w:r>
        <w:rPr>
          <w:rFonts w:eastAsia="黑体"/>
          <w:color w:val="auto"/>
          <w:highlight w:val="none"/>
        </w:rPr>
        <w:t>要求</w:t>
      </w:r>
      <w:r>
        <w:rPr>
          <w:rFonts w:hint="eastAsia" w:eastAsia="黑体"/>
          <w:color w:val="auto"/>
          <w:highlight w:val="none"/>
        </w:rPr>
        <w:t>）</w:t>
      </w:r>
    </w:p>
    <w:p>
      <w:pPr>
        <w:snapToGrid w:val="0"/>
        <w:spacing w:line="400" w:lineRule="atLeast"/>
        <w:outlineLvl w:val="9"/>
        <w:rPr>
          <w:color w:val="auto"/>
          <w:highlight w:val="none"/>
        </w:rPr>
      </w:pPr>
    </w:p>
    <w:tbl>
      <w:tblPr>
        <w:tblStyle w:val="10"/>
        <w:tblW w:w="9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6"/>
        <w:gridCol w:w="74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9" w:hRule="atLeast"/>
          <w:jc w:val="center"/>
        </w:trPr>
        <w:tc>
          <w:tcPr>
            <w:tcW w:w="1686" w:type="dxa"/>
            <w:vAlign w:val="center"/>
          </w:tcPr>
          <w:p>
            <w:pPr>
              <w:snapToGrid w:val="0"/>
              <w:spacing w:line="400" w:lineRule="atLeast"/>
              <w:jc w:val="center"/>
              <w:outlineLvl w:val="9"/>
              <w:rPr>
                <w:color w:val="auto"/>
                <w:highlight w:val="none"/>
              </w:rPr>
            </w:pPr>
            <w:r>
              <w:rPr>
                <w:rFonts w:hint="eastAsia"/>
                <w:color w:val="auto"/>
                <w:highlight w:val="none"/>
              </w:rPr>
              <w:t>合同包</w:t>
            </w:r>
          </w:p>
        </w:tc>
        <w:tc>
          <w:tcPr>
            <w:tcW w:w="7488" w:type="dxa"/>
            <w:vAlign w:val="center"/>
          </w:tcPr>
          <w:p>
            <w:pPr>
              <w:snapToGrid w:val="0"/>
              <w:spacing w:line="400" w:lineRule="atLeast"/>
              <w:jc w:val="center"/>
              <w:outlineLvl w:val="9"/>
              <w:rPr>
                <w:color w:val="auto"/>
                <w:highlight w:val="none"/>
              </w:rPr>
            </w:pPr>
            <w:r>
              <w:rPr>
                <w:color w:val="auto"/>
                <w:highlight w:val="none"/>
              </w:rPr>
              <w:t>资质要求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86" w:type="dxa"/>
            <w:vAlign w:val="center"/>
          </w:tcPr>
          <w:p>
            <w:pPr>
              <w:jc w:val="center"/>
              <w:rPr>
                <w:rFonts w:hint="default"/>
                <w:color w:val="auto"/>
                <w:sz w:val="18"/>
                <w:szCs w:val="21"/>
                <w:highlight w:val="none"/>
                <w:lang w:val="en-US"/>
              </w:rPr>
            </w:pPr>
            <w:r>
              <w:rPr>
                <w:rFonts w:hint="eastAsia" w:ascii="宋体" w:hAnsi="宋体" w:eastAsia="宋体" w:cs="宋体"/>
                <w:color w:val="auto"/>
                <w:sz w:val="21"/>
                <w:szCs w:val="21"/>
              </w:rPr>
              <w:t>枣潜北五标</w:t>
            </w:r>
            <w:r>
              <w:rPr>
                <w:rFonts w:hint="eastAsia" w:ascii="宋体" w:hAnsi="宋体" w:eastAsia="宋体" w:cs="宋体"/>
                <w:color w:val="auto"/>
                <w:sz w:val="21"/>
                <w:szCs w:val="21"/>
                <w:lang w:val="en-US" w:eastAsia="zh-CN"/>
              </w:rPr>
              <w:t>1#基层站新增备料场临时用地复垦方案设计</w:t>
            </w:r>
          </w:p>
        </w:tc>
        <w:tc>
          <w:tcPr>
            <w:tcW w:w="7488" w:type="dxa"/>
            <w:vAlign w:val="center"/>
          </w:tcPr>
          <w:p>
            <w:pPr>
              <w:jc w:val="left"/>
              <w:rPr>
                <w:rFonts w:hint="eastAsia" w:ascii="宋体" w:hAnsi="宋体" w:eastAsia="宋体" w:cs="宋体"/>
                <w:color w:val="auto"/>
                <w:sz w:val="21"/>
                <w:szCs w:val="21"/>
              </w:rPr>
            </w:pPr>
            <w:r>
              <w:rPr>
                <w:rFonts w:hint="eastAsia" w:ascii="宋体" w:hAnsi="宋体" w:eastAsia="宋体" w:cs="宋体"/>
                <w:color w:val="auto"/>
                <w:sz w:val="21"/>
                <w:szCs w:val="21"/>
              </w:rPr>
              <w:t>同时具备：</w:t>
            </w:r>
          </w:p>
          <w:p>
            <w:pPr>
              <w:jc w:val="left"/>
              <w:rPr>
                <w:rFonts w:hint="eastAsia" w:ascii="宋体" w:hAnsi="宋体" w:eastAsia="宋体" w:cs="宋体"/>
                <w:color w:val="auto"/>
                <w:sz w:val="21"/>
                <w:szCs w:val="21"/>
              </w:rPr>
            </w:pPr>
            <w:r>
              <w:rPr>
                <w:rFonts w:hint="eastAsia" w:ascii="宋体" w:hAnsi="宋体" w:eastAsia="宋体" w:cs="宋体"/>
                <w:color w:val="auto"/>
                <w:sz w:val="21"/>
                <w:szCs w:val="21"/>
              </w:rPr>
              <w:t>①独立的法人资格，具备有效的</w:t>
            </w:r>
            <w:r>
              <w:rPr>
                <w:rFonts w:hint="eastAsia" w:ascii="宋体" w:hAnsi="宋体" w:cs="宋体"/>
                <w:color w:val="auto"/>
                <w:sz w:val="21"/>
                <w:szCs w:val="21"/>
                <w:lang w:val="en-US" w:eastAsia="zh-CN"/>
              </w:rPr>
              <w:t>土地用地规划或土地复垦方案设计相关的</w:t>
            </w:r>
            <w:r>
              <w:rPr>
                <w:rFonts w:hint="eastAsia" w:ascii="宋体" w:hAnsi="宋体" w:eastAsia="宋体" w:cs="宋体"/>
                <w:color w:val="auto"/>
                <w:sz w:val="21"/>
                <w:szCs w:val="21"/>
              </w:rPr>
              <w:t>营业执照；</w:t>
            </w:r>
          </w:p>
          <w:p>
            <w:pPr>
              <w:jc w:val="left"/>
              <w:rPr>
                <w:color w:val="auto"/>
                <w:sz w:val="18"/>
                <w:szCs w:val="21"/>
                <w:highlight w:val="none"/>
              </w:rPr>
            </w:pPr>
          </w:p>
        </w:tc>
      </w:tr>
    </w:tbl>
    <w:p>
      <w:pPr>
        <w:outlineLvl w:val="9"/>
        <w:rPr>
          <w:color w:val="auto"/>
          <w:highlight w:val="none"/>
        </w:rPr>
      </w:pPr>
    </w:p>
    <w:p>
      <w:pPr>
        <w:snapToGrid w:val="0"/>
        <w:spacing w:line="400" w:lineRule="atLeast"/>
        <w:jc w:val="center"/>
        <w:outlineLvl w:val="9"/>
        <w:rPr>
          <w:rFonts w:eastAsia="黑体"/>
          <w:color w:val="auto"/>
          <w:highlight w:val="none"/>
        </w:rPr>
      </w:pPr>
      <w:r>
        <w:rPr>
          <w:color w:val="auto"/>
          <w:szCs w:val="21"/>
          <w:highlight w:val="none"/>
        </w:rPr>
        <w:br w:type="page"/>
      </w:r>
      <w:r>
        <w:rPr>
          <w:rFonts w:hint="eastAsia"/>
          <w:color w:val="auto"/>
          <w:szCs w:val="21"/>
          <w:highlight w:val="none"/>
          <w:lang w:val="en-US" w:eastAsia="zh-CN"/>
        </w:rPr>
        <w:t xml:space="preserve">    </w:t>
      </w:r>
      <w:r>
        <w:rPr>
          <w:rFonts w:hint="eastAsia"/>
          <w:color w:val="auto"/>
          <w:szCs w:val="21"/>
          <w:highlight w:val="none"/>
        </w:rPr>
        <w:t>（</w:t>
      </w:r>
      <w:r>
        <w:rPr>
          <w:rFonts w:hint="eastAsia"/>
          <w:color w:val="auto"/>
          <w:szCs w:val="21"/>
          <w:highlight w:val="none"/>
          <w:lang w:val="en-US" w:eastAsia="zh-CN"/>
        </w:rPr>
        <w:t>二</w:t>
      </w:r>
      <w:r>
        <w:rPr>
          <w:rFonts w:hint="eastAsia"/>
          <w:color w:val="auto"/>
          <w:szCs w:val="21"/>
          <w:highlight w:val="none"/>
        </w:rPr>
        <w:t>）</w:t>
      </w:r>
      <w:r>
        <w:rPr>
          <w:rFonts w:eastAsia="黑体"/>
          <w:color w:val="auto"/>
          <w:highlight w:val="none"/>
        </w:rPr>
        <w:t xml:space="preserve"> 资格</w:t>
      </w:r>
      <w:r>
        <w:rPr>
          <w:rFonts w:hint="eastAsia" w:eastAsia="黑体"/>
          <w:color w:val="auto"/>
          <w:highlight w:val="none"/>
        </w:rPr>
        <w:t>审查</w:t>
      </w:r>
      <w:r>
        <w:rPr>
          <w:rFonts w:eastAsia="黑体"/>
          <w:color w:val="auto"/>
          <w:highlight w:val="none"/>
        </w:rPr>
        <w:t>条件(信誉最低要求)</w:t>
      </w:r>
    </w:p>
    <w:p>
      <w:pPr>
        <w:snapToGrid w:val="0"/>
        <w:spacing w:line="400" w:lineRule="atLeast"/>
        <w:outlineLvl w:val="9"/>
        <w:rPr>
          <w:bCs/>
          <w:color w:val="auto"/>
          <w:highlight w:val="none"/>
        </w:rPr>
      </w:pPr>
    </w:p>
    <w:tbl>
      <w:tblPr>
        <w:tblStyle w:val="10"/>
        <w:tblW w:w="9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4"/>
        <w:gridCol w:w="7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01" w:hRule="atLeast"/>
          <w:jc w:val="center"/>
        </w:trPr>
        <w:tc>
          <w:tcPr>
            <w:tcW w:w="1694" w:type="dxa"/>
            <w:vAlign w:val="center"/>
          </w:tcPr>
          <w:p>
            <w:pPr>
              <w:snapToGrid w:val="0"/>
              <w:spacing w:line="400" w:lineRule="atLeast"/>
              <w:jc w:val="center"/>
              <w:outlineLvl w:val="9"/>
              <w:rPr>
                <w:color w:val="auto"/>
                <w:highlight w:val="none"/>
              </w:rPr>
            </w:pPr>
            <w:r>
              <w:rPr>
                <w:rFonts w:hint="eastAsia"/>
                <w:color w:val="auto"/>
                <w:highlight w:val="none"/>
              </w:rPr>
              <w:t>合同包</w:t>
            </w:r>
          </w:p>
        </w:tc>
        <w:tc>
          <w:tcPr>
            <w:tcW w:w="7480" w:type="dxa"/>
            <w:vAlign w:val="center"/>
          </w:tcPr>
          <w:p>
            <w:pPr>
              <w:snapToGrid w:val="0"/>
              <w:spacing w:line="400" w:lineRule="atLeast"/>
              <w:jc w:val="center"/>
              <w:outlineLvl w:val="9"/>
              <w:rPr>
                <w:color w:val="auto"/>
                <w:highlight w:val="none"/>
              </w:rPr>
            </w:pPr>
            <w:r>
              <w:rPr>
                <w:rFonts w:hint="eastAsia"/>
                <w:color w:val="auto"/>
                <w:highlight w:val="none"/>
              </w:rPr>
              <w:t>信誉</w:t>
            </w:r>
            <w:r>
              <w:rPr>
                <w:color w:val="auto"/>
                <w:highlight w:val="none"/>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88" w:hRule="exact"/>
          <w:jc w:val="center"/>
        </w:trPr>
        <w:tc>
          <w:tcPr>
            <w:tcW w:w="1694" w:type="dxa"/>
            <w:vAlign w:val="center"/>
          </w:tcPr>
          <w:p>
            <w:pPr>
              <w:jc w:val="center"/>
              <w:outlineLvl w:val="9"/>
              <w:rPr>
                <w:color w:val="auto"/>
                <w:highlight w:val="none"/>
              </w:rPr>
            </w:pPr>
            <w:r>
              <w:rPr>
                <w:rFonts w:hint="eastAsia" w:ascii="宋体" w:hAnsi="宋体" w:eastAsia="宋体" w:cs="宋体"/>
                <w:color w:val="auto"/>
                <w:sz w:val="24"/>
                <w:szCs w:val="24"/>
              </w:rPr>
              <w:t>枣潜北五标</w:t>
            </w:r>
            <w:r>
              <w:rPr>
                <w:rFonts w:hint="eastAsia" w:ascii="宋体" w:hAnsi="宋体" w:cs="宋体"/>
                <w:color w:val="auto"/>
                <w:sz w:val="24"/>
                <w:szCs w:val="24"/>
                <w:lang w:val="en-US" w:eastAsia="zh-CN"/>
              </w:rPr>
              <w:t>数字工地应用工程</w:t>
            </w:r>
          </w:p>
        </w:tc>
        <w:tc>
          <w:tcPr>
            <w:tcW w:w="7480" w:type="dxa"/>
            <w:vAlign w:val="center"/>
          </w:tcPr>
          <w:p>
            <w:pPr>
              <w:widowControl/>
              <w:outlineLvl w:val="9"/>
              <w:rPr>
                <w:color w:val="auto"/>
                <w:highlight w:val="none"/>
              </w:rPr>
            </w:pPr>
            <w:r>
              <w:rPr>
                <w:rFonts w:hint="eastAsia"/>
                <w:color w:val="auto"/>
                <w:highlight w:val="none"/>
              </w:rPr>
              <w:t>不得存在下列情况（信誉最低要求）：</w:t>
            </w:r>
          </w:p>
          <w:p>
            <w:pPr>
              <w:widowControl/>
              <w:outlineLvl w:val="9"/>
              <w:rPr>
                <w:color w:val="auto"/>
                <w:highlight w:val="none"/>
              </w:rPr>
            </w:pPr>
            <w:r>
              <w:rPr>
                <w:rFonts w:hint="eastAsia"/>
                <w:color w:val="auto"/>
                <w:highlight w:val="none"/>
              </w:rPr>
              <w:t>1、处于被责令停业、接管或清算、破产状态；</w:t>
            </w:r>
          </w:p>
          <w:p>
            <w:pPr>
              <w:widowControl/>
              <w:outlineLvl w:val="9"/>
              <w:rPr>
                <w:color w:val="auto"/>
                <w:highlight w:val="none"/>
              </w:rPr>
            </w:pPr>
            <w:r>
              <w:rPr>
                <w:rFonts w:hint="eastAsia"/>
                <w:color w:val="auto"/>
                <w:highlight w:val="none"/>
              </w:rPr>
              <w:t>2、处于被交通运输部或湖北省交通运输主管部门作出禁止进入公路建设市场的处罚且处于有效期内；</w:t>
            </w:r>
          </w:p>
          <w:p>
            <w:pPr>
              <w:widowControl/>
              <w:outlineLvl w:val="9"/>
              <w:rPr>
                <w:color w:val="auto"/>
                <w:highlight w:val="none"/>
              </w:rPr>
            </w:pPr>
            <w:r>
              <w:rPr>
                <w:rFonts w:hint="eastAsia"/>
                <w:color w:val="auto"/>
                <w:highlight w:val="none"/>
              </w:rPr>
              <w:t>3、存在下列不良状况或不良信用记录：</w:t>
            </w:r>
          </w:p>
          <w:p>
            <w:pPr>
              <w:widowControl/>
              <w:outlineLvl w:val="9"/>
              <w:rPr>
                <w:color w:val="auto"/>
                <w:highlight w:val="none"/>
              </w:rPr>
            </w:pPr>
            <w:r>
              <w:rPr>
                <w:rFonts w:hint="eastAsia"/>
                <w:color w:val="auto"/>
                <w:highlight w:val="none"/>
              </w:rPr>
              <w:t>（1）在国家企业信用信息公示系统（http://www.gsxt.gov.cn/）中被列入严重违法失信企业名单的；</w:t>
            </w:r>
          </w:p>
          <w:p>
            <w:pPr>
              <w:widowControl/>
              <w:outlineLvl w:val="9"/>
              <w:rPr>
                <w:color w:val="auto"/>
                <w:highlight w:val="none"/>
              </w:rPr>
            </w:pPr>
            <w:r>
              <w:rPr>
                <w:rFonts w:hint="eastAsia"/>
                <w:color w:val="auto"/>
                <w:highlight w:val="none"/>
              </w:rPr>
              <w:t>（2）在“信用中国”网站（http://www.creditchina.gov.cn/）中被列入失信被执行人名单或重大税收违法案件当事人；</w:t>
            </w:r>
          </w:p>
          <w:p>
            <w:pPr>
              <w:widowControl/>
              <w:outlineLvl w:val="9"/>
              <w:rPr>
                <w:color w:val="auto"/>
                <w:highlight w:val="none"/>
              </w:rPr>
            </w:pPr>
            <w:r>
              <w:rPr>
                <w:rFonts w:hint="eastAsia"/>
                <w:color w:val="auto"/>
                <w:highlight w:val="none"/>
              </w:rPr>
              <w:t>（3）申请人或其法定代表人、拟委任的项目经理在近三年内有行贿犯罪行为的；</w:t>
            </w:r>
          </w:p>
          <w:p>
            <w:pPr>
              <w:widowControl/>
              <w:outlineLvl w:val="9"/>
              <w:rPr>
                <w:color w:val="auto"/>
                <w:highlight w:val="none"/>
              </w:rPr>
            </w:pPr>
            <w:r>
              <w:rPr>
                <w:rFonts w:hint="eastAsia"/>
                <w:color w:val="auto"/>
                <w:highlight w:val="none"/>
              </w:rPr>
              <w:t>（4）其他在“信用中国”网站（http://www.creditchina.gov.cn/）中被列为失信惩戒对象，且按联合惩戒要求禁止参与招投标的</w:t>
            </w:r>
            <w:r>
              <w:rPr>
                <w:color w:val="auto"/>
                <w:highlight w:val="none"/>
              </w:rPr>
              <w:t>；</w:t>
            </w:r>
          </w:p>
        </w:tc>
      </w:tr>
    </w:tbl>
    <w:p>
      <w:pPr>
        <w:rPr>
          <w:rFonts w:hint="eastAsia"/>
          <w:highlight w:val="none"/>
          <w:lang w:val="en-US" w:eastAsia="zh-CN"/>
        </w:rPr>
      </w:pPr>
      <w:r>
        <w:rPr>
          <w:rFonts w:eastAsia="黑体"/>
          <w:color w:val="auto"/>
          <w:sz w:val="21"/>
          <w:szCs w:val="21"/>
          <w:highlight w:val="none"/>
        </w:rPr>
        <w:t>注：</w:t>
      </w:r>
      <w:r>
        <w:rPr>
          <w:rFonts w:hint="eastAsia" w:eastAsia="黑体"/>
          <w:color w:val="auto"/>
          <w:sz w:val="21"/>
          <w:szCs w:val="21"/>
          <w:highlight w:val="none"/>
        </w:rPr>
        <w:t>申请</w:t>
      </w:r>
      <w:r>
        <w:rPr>
          <w:rFonts w:eastAsia="黑体"/>
          <w:color w:val="auto"/>
          <w:sz w:val="21"/>
          <w:szCs w:val="21"/>
          <w:highlight w:val="none"/>
        </w:rPr>
        <w:t>人对以上（1）、（2）、（</w:t>
      </w:r>
      <w:r>
        <w:rPr>
          <w:rFonts w:hint="eastAsia" w:eastAsia="黑体"/>
          <w:color w:val="auto"/>
          <w:sz w:val="21"/>
          <w:szCs w:val="21"/>
          <w:highlight w:val="none"/>
        </w:rPr>
        <w:t>4</w:t>
      </w:r>
      <w:r>
        <w:rPr>
          <w:rFonts w:eastAsia="黑体"/>
          <w:color w:val="auto"/>
          <w:sz w:val="21"/>
          <w:szCs w:val="21"/>
          <w:highlight w:val="none"/>
        </w:rPr>
        <w:t>）信用状况均应附指定网站截图，截图时间为</w:t>
      </w:r>
      <w:r>
        <w:rPr>
          <w:rFonts w:hint="eastAsia" w:eastAsia="黑体"/>
          <w:color w:val="auto"/>
          <w:sz w:val="21"/>
          <w:szCs w:val="21"/>
          <w:highlight w:val="none"/>
        </w:rPr>
        <w:t>询价</w:t>
      </w:r>
      <w:r>
        <w:rPr>
          <w:rFonts w:eastAsia="黑体"/>
          <w:color w:val="auto"/>
          <w:sz w:val="21"/>
          <w:szCs w:val="21"/>
          <w:highlight w:val="none"/>
        </w:rPr>
        <w:t>公告发布之日至</w:t>
      </w:r>
      <w:r>
        <w:rPr>
          <w:rFonts w:hint="eastAsia" w:eastAsia="黑体"/>
          <w:color w:val="auto"/>
          <w:sz w:val="21"/>
          <w:szCs w:val="21"/>
          <w:highlight w:val="none"/>
        </w:rPr>
        <w:t>申请</w:t>
      </w:r>
      <w:r>
        <w:rPr>
          <w:rFonts w:eastAsia="黑体"/>
          <w:color w:val="auto"/>
          <w:sz w:val="21"/>
          <w:szCs w:val="21"/>
          <w:highlight w:val="none"/>
        </w:rPr>
        <w:t>截止日之间。若</w:t>
      </w:r>
      <w:r>
        <w:rPr>
          <w:rFonts w:hint="eastAsia" w:eastAsia="黑体"/>
          <w:color w:val="auto"/>
          <w:sz w:val="21"/>
          <w:szCs w:val="21"/>
          <w:highlight w:val="none"/>
        </w:rPr>
        <w:t>申请</w:t>
      </w:r>
      <w:r>
        <w:rPr>
          <w:rFonts w:eastAsia="黑体"/>
          <w:color w:val="auto"/>
          <w:sz w:val="21"/>
          <w:szCs w:val="21"/>
          <w:highlight w:val="none"/>
        </w:rPr>
        <w:t>人存在行贿犯罪行为，应按有关规定附相应资料。</w:t>
      </w:r>
      <w:r>
        <w:rPr>
          <w:rFonts w:hint="eastAsia"/>
          <w:highlight w:val="none"/>
          <w:lang w:val="en-US" w:eastAsia="zh-CN"/>
        </w:rPr>
        <w:t xml:space="preserve"> </w:t>
      </w:r>
    </w:p>
    <w:p>
      <w:pPr>
        <w:rPr>
          <w:rFonts w:hint="default"/>
          <w:highlight w:val="none"/>
          <w:lang w:val="en-US" w:eastAsia="zh-CN"/>
        </w:rPr>
      </w:pPr>
      <w:r>
        <w:rPr>
          <w:rFonts w:hint="eastAsia"/>
          <w:highlight w:val="none"/>
          <w:lang w:val="en-US" w:eastAsia="zh-CN"/>
        </w:rPr>
        <w:t xml:space="preserve"> </w:t>
      </w:r>
    </w:p>
    <w:p>
      <w:pPr>
        <w:rPr>
          <w:rFonts w:hint="eastAsia"/>
          <w:highlight w:val="none"/>
          <w:lang w:val="en-US" w:eastAsia="zh-CN"/>
        </w:rPr>
      </w:pPr>
      <w:r>
        <w:rPr>
          <w:rFonts w:hint="eastAsia"/>
          <w:highlight w:val="none"/>
          <w:lang w:val="en-US" w:eastAsia="zh-CN"/>
        </w:rPr>
        <w:t xml:space="preserve">                                                       </w:t>
      </w:r>
    </w:p>
    <w:p>
      <w:pPr>
        <w:autoSpaceDE w:val="0"/>
        <w:autoSpaceDN w:val="0"/>
        <w:spacing w:line="360" w:lineRule="auto"/>
        <w:jc w:val="right"/>
        <w:outlineLvl w:val="0"/>
        <w:rPr>
          <w:rFonts w:hint="eastAsia" w:ascii="宋体" w:hAnsi="宋体"/>
          <w:b/>
          <w:color w:val="auto"/>
          <w:sz w:val="36"/>
          <w:szCs w:val="36"/>
          <w:highlight w:val="none"/>
        </w:rPr>
      </w:pPr>
      <w:r>
        <w:rPr>
          <w:rFonts w:hint="eastAsia" w:ascii="宋体" w:hAnsi="宋体"/>
          <w:b w:val="0"/>
          <w:bCs/>
          <w:color w:val="auto"/>
          <w:sz w:val="28"/>
          <w:szCs w:val="28"/>
          <w:highlight w:val="none"/>
          <w:u w:val="single"/>
          <w:lang w:val="en-US" w:eastAsia="zh-CN"/>
        </w:rPr>
        <w:t xml:space="preserve"> </w:t>
      </w:r>
    </w:p>
    <w:p>
      <w:pPr>
        <w:autoSpaceDE w:val="0"/>
        <w:autoSpaceDN w:val="0"/>
        <w:spacing w:line="360" w:lineRule="auto"/>
        <w:jc w:val="both"/>
        <w:outlineLvl w:val="0"/>
        <w:rPr>
          <w:rFonts w:hint="default" w:ascii="仿宋_GB2312" w:hAnsi="仿宋_GB2312" w:eastAsia="仿宋_GB2312" w:cs="仿宋_GB2312"/>
          <w:color w:val="333333"/>
          <w:kern w:val="0"/>
          <w:sz w:val="32"/>
          <w:szCs w:val="32"/>
          <w:lang w:val="en-US" w:eastAsia="zh-CN"/>
        </w:rPr>
      </w:pPr>
    </w:p>
    <w:sectPr>
      <w:pgSz w:w="11906" w:h="16838"/>
      <w:pgMar w:top="1304" w:right="1797" w:bottom="1247"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BB6"/>
    <w:rsid w:val="000365E6"/>
    <w:rsid w:val="000B6862"/>
    <w:rsid w:val="000D01D0"/>
    <w:rsid w:val="000E3EE0"/>
    <w:rsid w:val="000F642F"/>
    <w:rsid w:val="00182566"/>
    <w:rsid w:val="001C315A"/>
    <w:rsid w:val="00212702"/>
    <w:rsid w:val="0027393F"/>
    <w:rsid w:val="00294F68"/>
    <w:rsid w:val="002E1FB3"/>
    <w:rsid w:val="00330134"/>
    <w:rsid w:val="004C5599"/>
    <w:rsid w:val="00501465"/>
    <w:rsid w:val="00633C57"/>
    <w:rsid w:val="00705232"/>
    <w:rsid w:val="007249AB"/>
    <w:rsid w:val="0078168F"/>
    <w:rsid w:val="0079511B"/>
    <w:rsid w:val="00821BB6"/>
    <w:rsid w:val="00894D26"/>
    <w:rsid w:val="008B55F4"/>
    <w:rsid w:val="00911286"/>
    <w:rsid w:val="00911EED"/>
    <w:rsid w:val="009E2242"/>
    <w:rsid w:val="00A268F9"/>
    <w:rsid w:val="00A4777D"/>
    <w:rsid w:val="00A649F1"/>
    <w:rsid w:val="00B23A26"/>
    <w:rsid w:val="00C20D47"/>
    <w:rsid w:val="00CB316E"/>
    <w:rsid w:val="00D71F83"/>
    <w:rsid w:val="00E05FF6"/>
    <w:rsid w:val="00E2138A"/>
    <w:rsid w:val="00E51DFB"/>
    <w:rsid w:val="00E6281F"/>
    <w:rsid w:val="00EC0DFC"/>
    <w:rsid w:val="00EF7792"/>
    <w:rsid w:val="00F231AB"/>
    <w:rsid w:val="00F67E00"/>
    <w:rsid w:val="00FB3E2C"/>
    <w:rsid w:val="00FE00BA"/>
    <w:rsid w:val="011C5FDB"/>
    <w:rsid w:val="0177689A"/>
    <w:rsid w:val="017E3270"/>
    <w:rsid w:val="01A718BE"/>
    <w:rsid w:val="01DA70A7"/>
    <w:rsid w:val="02176262"/>
    <w:rsid w:val="02334989"/>
    <w:rsid w:val="02525B4B"/>
    <w:rsid w:val="02540743"/>
    <w:rsid w:val="029356BA"/>
    <w:rsid w:val="03424428"/>
    <w:rsid w:val="0376121D"/>
    <w:rsid w:val="03B33BC8"/>
    <w:rsid w:val="04214561"/>
    <w:rsid w:val="05435794"/>
    <w:rsid w:val="05FC6B5A"/>
    <w:rsid w:val="06075522"/>
    <w:rsid w:val="06DB312F"/>
    <w:rsid w:val="06F21FB1"/>
    <w:rsid w:val="073327B5"/>
    <w:rsid w:val="08081614"/>
    <w:rsid w:val="08C5160C"/>
    <w:rsid w:val="08DC197E"/>
    <w:rsid w:val="094B4859"/>
    <w:rsid w:val="09783FFE"/>
    <w:rsid w:val="099333EE"/>
    <w:rsid w:val="09B621CF"/>
    <w:rsid w:val="09BD0937"/>
    <w:rsid w:val="09BE637C"/>
    <w:rsid w:val="09C95B19"/>
    <w:rsid w:val="0A0454CE"/>
    <w:rsid w:val="0A393468"/>
    <w:rsid w:val="0BA8722A"/>
    <w:rsid w:val="0BC20EFB"/>
    <w:rsid w:val="0BDF1EE7"/>
    <w:rsid w:val="0CEC2A23"/>
    <w:rsid w:val="0DA6091B"/>
    <w:rsid w:val="0DEB3819"/>
    <w:rsid w:val="0FEF3DA3"/>
    <w:rsid w:val="10D11E53"/>
    <w:rsid w:val="11531C1D"/>
    <w:rsid w:val="11594828"/>
    <w:rsid w:val="116920FE"/>
    <w:rsid w:val="11A349FB"/>
    <w:rsid w:val="1297508B"/>
    <w:rsid w:val="12CB4688"/>
    <w:rsid w:val="1315682B"/>
    <w:rsid w:val="13FD5B03"/>
    <w:rsid w:val="140C1C58"/>
    <w:rsid w:val="14100D2C"/>
    <w:rsid w:val="14175707"/>
    <w:rsid w:val="14CF3A97"/>
    <w:rsid w:val="152913B5"/>
    <w:rsid w:val="15D5685C"/>
    <w:rsid w:val="16EA07E1"/>
    <w:rsid w:val="178D10AF"/>
    <w:rsid w:val="184E6631"/>
    <w:rsid w:val="187768F1"/>
    <w:rsid w:val="18833030"/>
    <w:rsid w:val="18BE6840"/>
    <w:rsid w:val="18C17A18"/>
    <w:rsid w:val="18F37137"/>
    <w:rsid w:val="19F03A58"/>
    <w:rsid w:val="1AF94E73"/>
    <w:rsid w:val="1B615A03"/>
    <w:rsid w:val="1BA76F3F"/>
    <w:rsid w:val="1BB94BC3"/>
    <w:rsid w:val="1BBE0033"/>
    <w:rsid w:val="1C6A7AB6"/>
    <w:rsid w:val="1C9133D7"/>
    <w:rsid w:val="1D600209"/>
    <w:rsid w:val="1E2F0DC9"/>
    <w:rsid w:val="1E5B35A6"/>
    <w:rsid w:val="1F3D1731"/>
    <w:rsid w:val="1FCE60DA"/>
    <w:rsid w:val="20265475"/>
    <w:rsid w:val="20905DC0"/>
    <w:rsid w:val="21136BD9"/>
    <w:rsid w:val="22734E1E"/>
    <w:rsid w:val="22DA187D"/>
    <w:rsid w:val="22DF179A"/>
    <w:rsid w:val="233738D9"/>
    <w:rsid w:val="23801712"/>
    <w:rsid w:val="2391148C"/>
    <w:rsid w:val="24067C0F"/>
    <w:rsid w:val="243B358D"/>
    <w:rsid w:val="254C5C46"/>
    <w:rsid w:val="256E4577"/>
    <w:rsid w:val="25836F45"/>
    <w:rsid w:val="25C46806"/>
    <w:rsid w:val="26193AFF"/>
    <w:rsid w:val="264876BD"/>
    <w:rsid w:val="26BB0418"/>
    <w:rsid w:val="26EF54A7"/>
    <w:rsid w:val="283E3FF1"/>
    <w:rsid w:val="28CA6A27"/>
    <w:rsid w:val="28F90615"/>
    <w:rsid w:val="29557592"/>
    <w:rsid w:val="29670D48"/>
    <w:rsid w:val="29B661A3"/>
    <w:rsid w:val="29C37476"/>
    <w:rsid w:val="2A7B3C6D"/>
    <w:rsid w:val="2A8915F4"/>
    <w:rsid w:val="2AAA3BA1"/>
    <w:rsid w:val="2B074BEB"/>
    <w:rsid w:val="2C61706C"/>
    <w:rsid w:val="2C7E358A"/>
    <w:rsid w:val="2D44502B"/>
    <w:rsid w:val="2D5B2702"/>
    <w:rsid w:val="2DE0236E"/>
    <w:rsid w:val="2E1D45C4"/>
    <w:rsid w:val="2F4748DF"/>
    <w:rsid w:val="2F9D603A"/>
    <w:rsid w:val="2FC53EB3"/>
    <w:rsid w:val="2FD27373"/>
    <w:rsid w:val="30B637EE"/>
    <w:rsid w:val="30E40CE2"/>
    <w:rsid w:val="30F81894"/>
    <w:rsid w:val="3138267A"/>
    <w:rsid w:val="31894FE7"/>
    <w:rsid w:val="31FF6936"/>
    <w:rsid w:val="3203283A"/>
    <w:rsid w:val="32384A09"/>
    <w:rsid w:val="327473FD"/>
    <w:rsid w:val="32A9441E"/>
    <w:rsid w:val="34180FF4"/>
    <w:rsid w:val="349E0DAE"/>
    <w:rsid w:val="34A12363"/>
    <w:rsid w:val="34A34922"/>
    <w:rsid w:val="34A5062F"/>
    <w:rsid w:val="34B253A4"/>
    <w:rsid w:val="34D06748"/>
    <w:rsid w:val="358E32A7"/>
    <w:rsid w:val="3598088C"/>
    <w:rsid w:val="35FD55DB"/>
    <w:rsid w:val="362D7E27"/>
    <w:rsid w:val="36862CD8"/>
    <w:rsid w:val="37CA0370"/>
    <w:rsid w:val="38E40BF2"/>
    <w:rsid w:val="38E9360A"/>
    <w:rsid w:val="39007149"/>
    <w:rsid w:val="39674DC3"/>
    <w:rsid w:val="398F12E7"/>
    <w:rsid w:val="39BC5A9B"/>
    <w:rsid w:val="3A3C0474"/>
    <w:rsid w:val="3A6C16CE"/>
    <w:rsid w:val="3A9C586F"/>
    <w:rsid w:val="3AAE1CAA"/>
    <w:rsid w:val="3B60416D"/>
    <w:rsid w:val="3BE829A0"/>
    <w:rsid w:val="3BFE7D0F"/>
    <w:rsid w:val="3C1D7D3C"/>
    <w:rsid w:val="3C283387"/>
    <w:rsid w:val="3C3E3C41"/>
    <w:rsid w:val="3C5212D7"/>
    <w:rsid w:val="3C834563"/>
    <w:rsid w:val="3D2F01F0"/>
    <w:rsid w:val="3D607FE8"/>
    <w:rsid w:val="3D7625AD"/>
    <w:rsid w:val="3DAE5B42"/>
    <w:rsid w:val="3EBE6E2F"/>
    <w:rsid w:val="3ECD14D9"/>
    <w:rsid w:val="3ED82437"/>
    <w:rsid w:val="3FD52D95"/>
    <w:rsid w:val="40052352"/>
    <w:rsid w:val="402D702B"/>
    <w:rsid w:val="407413DC"/>
    <w:rsid w:val="40A66535"/>
    <w:rsid w:val="40B24F72"/>
    <w:rsid w:val="41401DA9"/>
    <w:rsid w:val="414B5ABB"/>
    <w:rsid w:val="41D42FFB"/>
    <w:rsid w:val="42220267"/>
    <w:rsid w:val="422F652B"/>
    <w:rsid w:val="4254737E"/>
    <w:rsid w:val="425E76C8"/>
    <w:rsid w:val="4293323E"/>
    <w:rsid w:val="42EE6893"/>
    <w:rsid w:val="430E2D96"/>
    <w:rsid w:val="4311216D"/>
    <w:rsid w:val="43EF592A"/>
    <w:rsid w:val="4552650A"/>
    <w:rsid w:val="46314A5C"/>
    <w:rsid w:val="47277FA6"/>
    <w:rsid w:val="48175D98"/>
    <w:rsid w:val="49F4445D"/>
    <w:rsid w:val="4A174F32"/>
    <w:rsid w:val="4A481830"/>
    <w:rsid w:val="4A6E7686"/>
    <w:rsid w:val="4AA2341C"/>
    <w:rsid w:val="4ACA0F5B"/>
    <w:rsid w:val="4B1226FC"/>
    <w:rsid w:val="4B523C56"/>
    <w:rsid w:val="4BBE5486"/>
    <w:rsid w:val="4C35391B"/>
    <w:rsid w:val="4C3A7EFE"/>
    <w:rsid w:val="4CEF0E6B"/>
    <w:rsid w:val="4D0F5467"/>
    <w:rsid w:val="4D1D1C18"/>
    <w:rsid w:val="4DA373DA"/>
    <w:rsid w:val="4DD17789"/>
    <w:rsid w:val="4EB44F2A"/>
    <w:rsid w:val="4F144F73"/>
    <w:rsid w:val="4F840877"/>
    <w:rsid w:val="4F846BB7"/>
    <w:rsid w:val="5010713C"/>
    <w:rsid w:val="506E51DF"/>
    <w:rsid w:val="50A90755"/>
    <w:rsid w:val="50B338C4"/>
    <w:rsid w:val="50EF0A07"/>
    <w:rsid w:val="511139FA"/>
    <w:rsid w:val="51415DE6"/>
    <w:rsid w:val="51427CB5"/>
    <w:rsid w:val="51870B6A"/>
    <w:rsid w:val="52133E74"/>
    <w:rsid w:val="5244578E"/>
    <w:rsid w:val="524D76C2"/>
    <w:rsid w:val="530E0F11"/>
    <w:rsid w:val="53860D89"/>
    <w:rsid w:val="54A11E1A"/>
    <w:rsid w:val="57544C8A"/>
    <w:rsid w:val="578B326B"/>
    <w:rsid w:val="578D5292"/>
    <w:rsid w:val="586C496B"/>
    <w:rsid w:val="58770342"/>
    <w:rsid w:val="58963B77"/>
    <w:rsid w:val="594658FD"/>
    <w:rsid w:val="5968733A"/>
    <w:rsid w:val="59E4584B"/>
    <w:rsid w:val="5A205333"/>
    <w:rsid w:val="5A6E51DE"/>
    <w:rsid w:val="5A892745"/>
    <w:rsid w:val="5A934FC0"/>
    <w:rsid w:val="5AB25CDF"/>
    <w:rsid w:val="5AC61F37"/>
    <w:rsid w:val="5ADC5293"/>
    <w:rsid w:val="5AF848DA"/>
    <w:rsid w:val="5BF571F8"/>
    <w:rsid w:val="5C030C2E"/>
    <w:rsid w:val="5C0556A7"/>
    <w:rsid w:val="5C4C3C6D"/>
    <w:rsid w:val="5C54640D"/>
    <w:rsid w:val="5CA62C9D"/>
    <w:rsid w:val="5D1E154E"/>
    <w:rsid w:val="5D6B4062"/>
    <w:rsid w:val="5DC0374A"/>
    <w:rsid w:val="5E16078C"/>
    <w:rsid w:val="5E793782"/>
    <w:rsid w:val="5F323B35"/>
    <w:rsid w:val="5F832D18"/>
    <w:rsid w:val="60366417"/>
    <w:rsid w:val="60E0060E"/>
    <w:rsid w:val="61524B63"/>
    <w:rsid w:val="61752072"/>
    <w:rsid w:val="61EE3E82"/>
    <w:rsid w:val="62217538"/>
    <w:rsid w:val="6251736A"/>
    <w:rsid w:val="62843166"/>
    <w:rsid w:val="62CE2A42"/>
    <w:rsid w:val="638646F0"/>
    <w:rsid w:val="63DD15E0"/>
    <w:rsid w:val="650066F6"/>
    <w:rsid w:val="650329B3"/>
    <w:rsid w:val="650B5E68"/>
    <w:rsid w:val="65452A3B"/>
    <w:rsid w:val="664B02C2"/>
    <w:rsid w:val="664B0C05"/>
    <w:rsid w:val="666302F7"/>
    <w:rsid w:val="67304486"/>
    <w:rsid w:val="67796C8D"/>
    <w:rsid w:val="67841224"/>
    <w:rsid w:val="67D56FA1"/>
    <w:rsid w:val="67E05A28"/>
    <w:rsid w:val="680F2D5D"/>
    <w:rsid w:val="6814609F"/>
    <w:rsid w:val="68543900"/>
    <w:rsid w:val="6878598F"/>
    <w:rsid w:val="68D740EB"/>
    <w:rsid w:val="691131D9"/>
    <w:rsid w:val="692F23F1"/>
    <w:rsid w:val="69E50464"/>
    <w:rsid w:val="6A8B33F1"/>
    <w:rsid w:val="6ACA238E"/>
    <w:rsid w:val="6BEB531C"/>
    <w:rsid w:val="6C805A3A"/>
    <w:rsid w:val="6E2340E1"/>
    <w:rsid w:val="6E834EEC"/>
    <w:rsid w:val="6E895952"/>
    <w:rsid w:val="6F0348E7"/>
    <w:rsid w:val="6F190298"/>
    <w:rsid w:val="6FBA46FE"/>
    <w:rsid w:val="6FE06AD0"/>
    <w:rsid w:val="6FEF60FB"/>
    <w:rsid w:val="72062355"/>
    <w:rsid w:val="72127727"/>
    <w:rsid w:val="7241547A"/>
    <w:rsid w:val="72A8456A"/>
    <w:rsid w:val="737F18C9"/>
    <w:rsid w:val="74041440"/>
    <w:rsid w:val="74524BA8"/>
    <w:rsid w:val="74BF3A76"/>
    <w:rsid w:val="75055613"/>
    <w:rsid w:val="75885A29"/>
    <w:rsid w:val="75AC39A3"/>
    <w:rsid w:val="75FE2B2B"/>
    <w:rsid w:val="76977C26"/>
    <w:rsid w:val="774614BB"/>
    <w:rsid w:val="77E44E25"/>
    <w:rsid w:val="77FA6386"/>
    <w:rsid w:val="78C0585A"/>
    <w:rsid w:val="79E668F6"/>
    <w:rsid w:val="7B4B38A2"/>
    <w:rsid w:val="7B5A35EF"/>
    <w:rsid w:val="7B855A71"/>
    <w:rsid w:val="7BF121E8"/>
    <w:rsid w:val="7C19034E"/>
    <w:rsid w:val="7C45537D"/>
    <w:rsid w:val="7C7C47D1"/>
    <w:rsid w:val="7C9128C5"/>
    <w:rsid w:val="7CB540DF"/>
    <w:rsid w:val="7CF913A4"/>
    <w:rsid w:val="7CFE62E5"/>
    <w:rsid w:val="7D102276"/>
    <w:rsid w:val="7E5E58ED"/>
    <w:rsid w:val="7E713A86"/>
    <w:rsid w:val="7E974A7D"/>
    <w:rsid w:val="7F0251C5"/>
    <w:rsid w:val="7F9B486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4"/>
    <w:qFormat/>
    <w:uiPriority w:val="0"/>
    <w:pPr>
      <w:ind w:firstLine="420" w:firstLineChars="200"/>
    </w:pPr>
    <w:rPr>
      <w:rFonts w:ascii="Times New Roman" w:hAnsi="Times New Roman" w:eastAsia="宋体" w:cs="Times New Roman"/>
      <w:szCs w:val="24"/>
    </w:rPr>
  </w:style>
  <w:style w:type="paragraph" w:styleId="3">
    <w:name w:val="Body Text Indent"/>
    <w:basedOn w:val="1"/>
    <w:next w:val="1"/>
    <w:qFormat/>
    <w:uiPriority w:val="0"/>
    <w:pPr>
      <w:spacing w:after="120"/>
      <w:ind w:left="420" w:leftChars="200"/>
    </w:pPr>
  </w:style>
  <w:style w:type="paragraph" w:styleId="4">
    <w:name w:val="Body Text First Indent"/>
    <w:basedOn w:val="5"/>
    <w:qFormat/>
    <w:uiPriority w:val="0"/>
    <w:pPr>
      <w:ind w:firstLine="420" w:firstLineChars="100"/>
    </w:pPr>
  </w:style>
  <w:style w:type="paragraph" w:styleId="5">
    <w:name w:val="Body Text"/>
    <w:basedOn w:val="1"/>
    <w:next w:val="1"/>
    <w:unhideWhenUsed/>
    <w:qFormat/>
    <w:uiPriority w:val="99"/>
    <w:pPr>
      <w:spacing w:after="120"/>
    </w:pPr>
  </w:style>
  <w:style w:type="paragraph" w:styleId="6">
    <w:name w:val="Balloon Text"/>
    <w:basedOn w:val="1"/>
    <w:link w:val="15"/>
    <w:qFormat/>
    <w:uiPriority w:val="0"/>
    <w:rPr>
      <w:sz w:val="18"/>
      <w:szCs w:val="18"/>
    </w:rPr>
  </w:style>
  <w:style w:type="paragraph" w:styleId="7">
    <w:name w:val="footer"/>
    <w:basedOn w:val="1"/>
    <w:link w:val="17"/>
    <w:qFormat/>
    <w:uiPriority w:val="0"/>
    <w:pPr>
      <w:tabs>
        <w:tab w:val="center" w:pos="4153"/>
        <w:tab w:val="right" w:pos="8306"/>
      </w:tabs>
      <w:snapToGrid w:val="0"/>
      <w:jc w:val="left"/>
    </w:pPr>
    <w:rPr>
      <w:sz w:val="18"/>
      <w:szCs w:val="18"/>
    </w:rPr>
  </w:style>
  <w:style w:type="paragraph" w:styleId="8">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widowControl/>
      <w:adjustRightInd/>
      <w:spacing w:before="100" w:beforeAutospacing="1" w:after="100" w:afterAutospacing="1" w:line="240" w:lineRule="auto"/>
      <w:textAlignment w:val="auto"/>
    </w:pPr>
    <w:rPr>
      <w:szCs w:val="24"/>
    </w:rPr>
  </w:style>
  <w:style w:type="table" w:styleId="11">
    <w:name w:val="Table Grid"/>
    <w:basedOn w:val="10"/>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Hyperlink"/>
    <w:basedOn w:val="12"/>
    <w:qFormat/>
    <w:uiPriority w:val="0"/>
    <w:rPr>
      <w:color w:val="0000FF"/>
      <w:u w:val="single"/>
    </w:rPr>
  </w:style>
  <w:style w:type="paragraph" w:customStyle="1" w:styleId="14">
    <w:name w:val="列出段落1"/>
    <w:basedOn w:val="1"/>
    <w:qFormat/>
    <w:uiPriority w:val="34"/>
    <w:pPr>
      <w:ind w:firstLine="420" w:firstLineChars="200"/>
    </w:pPr>
  </w:style>
  <w:style w:type="character" w:customStyle="1" w:styleId="15">
    <w:name w:val="批注框文本 Char"/>
    <w:basedOn w:val="12"/>
    <w:link w:val="6"/>
    <w:qFormat/>
    <w:uiPriority w:val="0"/>
    <w:rPr>
      <w:kern w:val="2"/>
      <w:sz w:val="18"/>
      <w:szCs w:val="18"/>
    </w:rPr>
  </w:style>
  <w:style w:type="character" w:customStyle="1" w:styleId="16">
    <w:name w:val="页眉 Char"/>
    <w:basedOn w:val="12"/>
    <w:link w:val="8"/>
    <w:qFormat/>
    <w:uiPriority w:val="0"/>
    <w:rPr>
      <w:kern w:val="2"/>
      <w:sz w:val="18"/>
      <w:szCs w:val="18"/>
    </w:rPr>
  </w:style>
  <w:style w:type="character" w:customStyle="1" w:styleId="17">
    <w:name w:val="页脚 Char"/>
    <w:basedOn w:val="12"/>
    <w:link w:val="7"/>
    <w:qFormat/>
    <w:uiPriority w:val="0"/>
    <w:rPr>
      <w:kern w:val="2"/>
      <w:sz w:val="18"/>
      <w:szCs w:val="18"/>
    </w:rPr>
  </w:style>
  <w:style w:type="paragraph" w:customStyle="1" w:styleId="18">
    <w:name w:val="正文_0"/>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61</Words>
  <Characters>352</Characters>
  <Lines>2</Lines>
  <Paragraphs>1</Paragraphs>
  <TotalTime>4</TotalTime>
  <ScaleCrop>false</ScaleCrop>
  <LinksUpToDate>false</LinksUpToDate>
  <CharactersWithSpaces>412</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2017-03-02T06:28:00Z</dcterms:created>
  <dc:creator>尹明毅</dc:creator>
  <cp:lastModifiedBy>RORA</cp:lastModifiedBy>
  <cp:lastPrinted>2020-12-22T05:40:00Z</cp:lastPrinted>
  <dcterms:modified xsi:type="dcterms:W3CDTF">2021-08-05T03:03:25Z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A6F4603437C344FE9AC29DBEE3D157E9</vt:lpwstr>
  </property>
</Properties>
</file>