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9"/>
        <w:tblW w:w="8219" w:type="dxa"/>
        <w:jc w:val="center"/>
        <w:shd w:val="clear" w:color="auto" w:fill="auto"/>
        <w:tblLayout w:type="fixed"/>
        <w:tblCellMar>
          <w:top w:w="0" w:type="dxa"/>
          <w:left w:w="0" w:type="dxa"/>
          <w:bottom w:w="0" w:type="dxa"/>
          <w:right w:w="0" w:type="dxa"/>
        </w:tblCellMar>
      </w:tblPr>
      <w:tblGrid>
        <w:gridCol w:w="1473"/>
        <w:gridCol w:w="2417"/>
        <w:gridCol w:w="2633"/>
        <w:gridCol w:w="1696"/>
      </w:tblGrid>
      <w:tr>
        <w:tblPrEx>
          <w:shd w:val="clear" w:color="auto" w:fill="auto"/>
          <w:tblCellMar>
            <w:top w:w="0" w:type="dxa"/>
            <w:left w:w="0" w:type="dxa"/>
            <w:bottom w:w="0" w:type="dxa"/>
            <w:right w:w="0" w:type="dxa"/>
          </w:tblCellMar>
        </w:tblPrEx>
        <w:trPr>
          <w:trHeight w:val="58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合同包</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eastAsia" w:cs="Times New Roman"/>
                <w:i w:val="0"/>
                <w:color w:val="auto"/>
                <w:kern w:val="0"/>
                <w:sz w:val="21"/>
                <w:szCs w:val="21"/>
                <w:highlight w:val="none"/>
                <w:u w:val="none"/>
                <w:lang w:val="en-US" w:eastAsia="zh-CN" w:bidi="ar"/>
              </w:rPr>
              <w:t>名称</w:t>
            </w: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cs="Times New Roman"/>
                <w:i w:val="0"/>
                <w:color w:val="auto"/>
                <w:kern w:val="0"/>
                <w:sz w:val="21"/>
                <w:szCs w:val="21"/>
                <w:highlight w:val="none"/>
                <w:u w:val="none"/>
                <w:lang w:val="en-US" w:eastAsia="zh-CN" w:bidi="ar"/>
              </w:rPr>
              <w:t>围墙长度（m）</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r>
              <w:rPr>
                <w:rFonts w:hint="eastAsia" w:cs="Times New Roman"/>
                <w:i w:val="0"/>
                <w:color w:val="auto"/>
                <w:kern w:val="0"/>
                <w:sz w:val="21"/>
                <w:szCs w:val="21"/>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987" w:hRule="atLeast"/>
          <w:jc w:val="center"/>
        </w:trPr>
        <w:tc>
          <w:tcPr>
            <w:tcW w:w="147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第1合同包</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四姑互通匝道收费站</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501.8</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987" w:hRule="atLeast"/>
          <w:jc w:val="center"/>
        </w:trPr>
        <w:tc>
          <w:tcPr>
            <w:tcW w:w="147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cs="Times New Roman"/>
                <w:i w:val="0"/>
                <w:color w:val="auto"/>
                <w:sz w:val="21"/>
                <w:szCs w:val="21"/>
                <w:highlight w:val="none"/>
                <w:u w:val="none"/>
                <w:lang w:val="en-US" w:eastAsia="zh-CN"/>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吕王互通匝道收费站</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320.69</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shd w:val="clear" w:color="auto" w:fill="auto"/>
          <w:tblCellMar>
            <w:top w:w="0" w:type="dxa"/>
            <w:left w:w="0" w:type="dxa"/>
            <w:bottom w:w="0" w:type="dxa"/>
            <w:right w:w="0" w:type="dxa"/>
          </w:tblCellMar>
        </w:tblPrEx>
        <w:trPr>
          <w:trHeight w:val="987" w:hRule="atLeast"/>
          <w:jc w:val="center"/>
        </w:trPr>
        <w:tc>
          <w:tcPr>
            <w:tcW w:w="147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cs="Times New Roman"/>
                <w:i w:val="0"/>
                <w:color w:val="auto"/>
                <w:sz w:val="21"/>
                <w:szCs w:val="21"/>
                <w:highlight w:val="none"/>
                <w:u w:val="none"/>
                <w:lang w:val="en-US" w:eastAsia="zh-CN"/>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四姑停车区</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534.57</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987" w:hRule="atLeast"/>
          <w:jc w:val="center"/>
        </w:trPr>
        <w:tc>
          <w:tcPr>
            <w:tcW w:w="147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cs="Times New Roman"/>
                <w:i w:val="0"/>
                <w:color w:val="auto"/>
                <w:sz w:val="21"/>
                <w:szCs w:val="21"/>
                <w:highlight w:val="none"/>
                <w:u w:val="none"/>
                <w:lang w:val="en-US" w:eastAsia="zh-CN"/>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安全管理基地</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383.47</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987" w:hRule="atLeast"/>
          <w:jc w:val="center"/>
        </w:trPr>
        <w:tc>
          <w:tcPr>
            <w:tcW w:w="14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cs="Times New Roman"/>
                <w:i w:val="0"/>
                <w:color w:val="auto"/>
                <w:sz w:val="21"/>
                <w:szCs w:val="21"/>
                <w:highlight w:val="none"/>
                <w:u w:val="none"/>
                <w:lang w:val="en-US" w:eastAsia="zh-CN"/>
              </w:rPr>
              <w:t>第2合同包</w:t>
            </w: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宣化店服务区东区</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sz w:val="24"/>
                <w:lang w:val="en-US" w:eastAsia="zh-CN" w:bidi="ar-SA"/>
              </w:rPr>
            </w:pPr>
            <w:r>
              <w:rPr>
                <w:rFonts w:hint="eastAsia"/>
                <w:lang w:val="en-US" w:eastAsia="zh-CN"/>
              </w:rPr>
              <w:t>517.57</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1018" w:hRule="atLeast"/>
          <w:jc w:val="center"/>
        </w:trPr>
        <w:tc>
          <w:tcPr>
            <w:tcW w:w="147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宣化店服务区西区</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522.56</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942" w:hRule="atLeast"/>
          <w:jc w:val="center"/>
        </w:trPr>
        <w:tc>
          <w:tcPr>
            <w:tcW w:w="147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宣化店收费站</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324.11</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r>
        <w:tblPrEx>
          <w:tblCellMar>
            <w:top w:w="0" w:type="dxa"/>
            <w:left w:w="0" w:type="dxa"/>
            <w:bottom w:w="0" w:type="dxa"/>
            <w:right w:w="0" w:type="dxa"/>
          </w:tblCellMar>
        </w:tblPrEx>
        <w:trPr>
          <w:trHeight w:val="1041" w:hRule="atLeast"/>
          <w:jc w:val="center"/>
        </w:trPr>
        <w:tc>
          <w:tcPr>
            <w:tcW w:w="147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rPr>
            </w:pPr>
          </w:p>
        </w:tc>
        <w:tc>
          <w:tcPr>
            <w:tcW w:w="2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黄站收费站</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1"/>
                <w:szCs w:val="21"/>
                <w:highlight w:val="none"/>
                <w:u w:val="none"/>
                <w:lang w:val="en-US" w:eastAsia="zh-CN" w:bidi="ar-SA"/>
              </w:rPr>
            </w:pPr>
            <w:r>
              <w:rPr>
                <w:rFonts w:hint="eastAsia" w:cs="Times New Roman"/>
                <w:i w:val="0"/>
                <w:color w:val="auto"/>
                <w:sz w:val="21"/>
                <w:szCs w:val="21"/>
                <w:highlight w:val="none"/>
                <w:u w:val="none"/>
                <w:lang w:val="en-US" w:eastAsia="zh-CN"/>
              </w:rPr>
              <w:t>295.46</w:t>
            </w:r>
          </w:p>
        </w:tc>
        <w:tc>
          <w:tcPr>
            <w:tcW w:w="1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eastAsia="zh-CN" w:bidi="ar-SA"/>
              </w:rPr>
            </w:pP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5" w:type="default"/>
          <w:footnotePr>
            <w:numFmt w:val="decimalEnclosedCircleChinese"/>
          </w:footnotePr>
          <w:pgSz w:w="11906" w:h="16838"/>
          <w:pgMar w:top="1417" w:right="1474" w:bottom="1417" w:left="1474" w:header="851" w:footer="992" w:gutter="567"/>
          <w:pgBorders>
            <w:top w:val="none" w:sz="0" w:space="0"/>
            <w:left w:val="none" w:sz="0" w:space="0"/>
            <w:bottom w:val="none" w:sz="0" w:space="0"/>
            <w:right w:val="none" w:sz="0" w:space="0"/>
          </w:pgBorders>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第1合同包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独立的法人资格，具备有效的营业执照；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建筑施工总承包叁级资质及以上资质</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sz w:val="24"/>
                <w:highlight w:val="none"/>
                <w:lang w:val="en-US" w:eastAsia="zh-CN" w:bidi="ar-SA"/>
              </w:rPr>
            </w:pPr>
            <w:r>
              <w:rPr>
                <w:rFonts w:hint="default" w:ascii="Times New Roman" w:hAnsi="Times New Roman" w:cs="Times New Roman"/>
                <w:color w:val="auto"/>
                <w:highlight w:val="none"/>
              </w:rPr>
              <w:t>第</w:t>
            </w:r>
            <w:r>
              <w:rPr>
                <w:rFonts w:hint="eastAsia" w:cs="Times New Roman"/>
                <w:color w:val="auto"/>
                <w:highlight w:val="none"/>
                <w:lang w:val="en-US" w:eastAsia="zh-CN"/>
              </w:rPr>
              <w:t>2</w:t>
            </w: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独立的法人资格，具备有效的营业执照；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建筑施工总承包叁级资质及以上资质</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eastAsia="宋体" w:cs="Times New Roman"/>
                <w:color w:val="auto"/>
                <w:sz w:val="24"/>
                <w:highlight w:val="none"/>
                <w:lang w:val="en-US" w:eastAsia="zh-CN" w:bidi="ar-SA"/>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default" w:ascii="Times New Roman" w:hAnsi="Times New Roman" w:cs="Times New Roman"/>
                <w:i w:val="0"/>
                <w:color w:val="auto"/>
                <w:kern w:val="0"/>
                <w:sz w:val="24"/>
                <w:szCs w:val="22"/>
                <w:highlight w:val="none"/>
                <w:u w:val="none"/>
                <w:lang w:val="en-US" w:eastAsia="zh-CN" w:bidi="ar"/>
              </w:rPr>
              <w:t>1</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240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48万元。</w:t>
            </w: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eastAsia="宋体" w:cs="Times New Roman"/>
                <w:color w:val="auto"/>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280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56</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9</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附录3  资格审查条件(业绩最低要求)</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近5年承担过1个</w:t>
            </w:r>
            <w:r>
              <w:rPr>
                <w:rFonts w:hint="eastAsia" w:cs="Times New Roman"/>
                <w:b w:val="0"/>
                <w:bCs w:val="0"/>
                <w:color w:val="auto"/>
                <w:szCs w:val="22"/>
                <w:highlight w:val="none"/>
                <w:lang w:val="en-US" w:eastAsia="zh-CN"/>
              </w:rPr>
              <w:t>类似项目</w:t>
            </w:r>
            <w:r>
              <w:rPr>
                <w:rFonts w:hint="eastAsia"/>
                <w:szCs w:val="22"/>
              </w:rPr>
              <w:t>施工业绩。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eastAsia="宋体" w:cs="Times New Roman"/>
                <w:b w:val="0"/>
                <w:bCs w:val="0"/>
                <w:color w:val="auto"/>
                <w:sz w:val="24"/>
                <w:highlight w:val="none"/>
                <w:lang w:val="en-US" w:eastAsia="zh-CN" w:bidi="ar-SA"/>
              </w:rPr>
            </w:pPr>
            <w:r>
              <w:rPr>
                <w:rFonts w:hint="default" w:ascii="Times New Roman" w:hAnsi="Times New Roman" w:cs="Times New Roman"/>
                <w:color w:val="auto"/>
                <w:highlight w:val="none"/>
              </w:rPr>
              <w:t>第</w:t>
            </w:r>
            <w:r>
              <w:rPr>
                <w:rFonts w:hint="eastAsia" w:cs="Times New Roman"/>
                <w:color w:val="auto"/>
                <w:highlight w:val="none"/>
                <w:lang w:val="en-US" w:eastAsia="zh-CN"/>
              </w:rPr>
              <w:t>2</w:t>
            </w: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eastAsia="宋体" w:cs="Times New Roman"/>
                <w:b w:val="0"/>
                <w:bCs w:val="0"/>
                <w:color w:val="auto"/>
                <w:sz w:val="24"/>
                <w:szCs w:val="22"/>
                <w:highlight w:val="none"/>
                <w:lang w:val="en-US" w:eastAsia="zh-CN" w:bidi="ar-SA"/>
              </w:rPr>
            </w:pPr>
            <w:r>
              <w:rPr>
                <w:rFonts w:hint="default" w:ascii="Times New Roman" w:hAnsi="Times New Roman" w:cs="Times New Roman"/>
                <w:b w:val="0"/>
                <w:bCs w:val="0"/>
                <w:color w:val="auto"/>
                <w:szCs w:val="22"/>
                <w:highlight w:val="none"/>
                <w:lang w:val="en-US" w:eastAsia="zh-CN"/>
              </w:rPr>
              <w:t>近5年承担过1个</w:t>
            </w:r>
            <w:r>
              <w:rPr>
                <w:rFonts w:hint="eastAsia" w:cs="Times New Roman"/>
                <w:b w:val="0"/>
                <w:bCs w:val="0"/>
                <w:color w:val="auto"/>
                <w:szCs w:val="22"/>
                <w:highlight w:val="none"/>
                <w:lang w:val="en-US" w:eastAsia="zh-CN"/>
              </w:rPr>
              <w:t>类似项目</w:t>
            </w:r>
            <w:r>
              <w:rPr>
                <w:rFonts w:hint="eastAsia"/>
                <w:szCs w:val="22"/>
              </w:rPr>
              <w:t>施工业绩。</w:t>
            </w:r>
          </w:p>
        </w:tc>
      </w:tr>
    </w:tbl>
    <w:p>
      <w:pPr>
        <w:pStyle w:val="12"/>
        <w:pageBreakBefore w:val="0"/>
        <w:kinsoku/>
        <w:overflowPunct/>
        <w:topLinePunct w:val="0"/>
        <w:bidi w:val="0"/>
        <w:spacing w:line="360" w:lineRule="auto"/>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auto"/>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auto"/>
          <w:kern w:val="0"/>
          <w:highlight w:val="none"/>
        </w:rPr>
        <w:t>并提供合同协议书。如无合同协议书，</w:t>
      </w:r>
      <w:r>
        <w:rPr>
          <w:rFonts w:hint="eastAsia" w:eastAsia="黑体" w:cs="Times New Roman"/>
          <w:color w:val="auto"/>
          <w:kern w:val="0"/>
          <w:highlight w:val="none"/>
          <w:lang w:eastAsia="zh-CN"/>
        </w:rPr>
        <w:t>询价</w:t>
      </w:r>
      <w:r>
        <w:rPr>
          <w:rFonts w:hint="default" w:ascii="Times New Roman" w:hAnsi="Times New Roman" w:eastAsia="黑体" w:cs="Times New Roman"/>
          <w:color w:val="auto"/>
          <w:kern w:val="0"/>
          <w:highlight w:val="none"/>
        </w:rPr>
        <w:t>人在对申请人进行业绩审查时将不考虑该项目；申请人承担的分包工程业绩予以认可，但必须满足业绩要求中的专业内容。</w:t>
      </w:r>
    </w:p>
    <w:p>
      <w:pPr>
        <w:pStyle w:val="12"/>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资格审查条件(信誉最低要求)</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w:t>
            </w:r>
            <w:r>
              <w:rPr>
                <w:rFonts w:hint="eastAsia" w:cs="Times New Roman"/>
                <w:color w:val="auto"/>
                <w:highlight w:val="none"/>
                <w:lang w:eastAsia="zh-CN"/>
              </w:rPr>
              <w:t>、</w:t>
            </w:r>
            <w:r>
              <w:rPr>
                <w:rFonts w:hint="eastAsia" w:cs="Times New Roman"/>
                <w:color w:val="auto"/>
                <w:highlight w:val="none"/>
                <w:lang w:val="en-US" w:eastAsia="zh-CN"/>
              </w:rPr>
              <w:t>2</w:t>
            </w:r>
            <w:r>
              <w:rPr>
                <w:rFonts w:hint="default" w:ascii="Times New Roman" w:hAnsi="Times New Roman" w:cs="Times New Roman"/>
                <w:color w:val="auto"/>
                <w:highlight w:val="none"/>
              </w:rPr>
              <w:t>合同包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资格审查条件(主要人员最低要求)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449"/>
        <w:gridCol w:w="1429"/>
        <w:gridCol w:w="2968"/>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878" w:type="dxa"/>
            <w:gridSpan w:val="2"/>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2968" w:type="dxa"/>
            <w:vMerge w:val="restart"/>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p>
        </w:tc>
        <w:tc>
          <w:tcPr>
            <w:tcW w:w="144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第1合同包</w:t>
            </w:r>
          </w:p>
        </w:tc>
        <w:tc>
          <w:tcPr>
            <w:tcW w:w="142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合同包</w:t>
            </w:r>
          </w:p>
        </w:tc>
        <w:tc>
          <w:tcPr>
            <w:tcW w:w="2968" w:type="dxa"/>
            <w:vMerge w:val="continue"/>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c>
          <w:tcPr>
            <w:tcW w:w="1430" w:type="dxa"/>
            <w:vMerge w:val="continue"/>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8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29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8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29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中级职称</w:t>
            </w:r>
          </w:p>
        </w:tc>
        <w:tc>
          <w:tcPr>
            <w:tcW w:w="1430" w:type="dxa"/>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现场管理人员</w:t>
            </w:r>
          </w:p>
        </w:tc>
        <w:tc>
          <w:tcPr>
            <w:tcW w:w="28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29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sz w:val="24"/>
                <w:highlight w:val="none"/>
                <w:lang w:val="en-US" w:eastAsia="zh-CN" w:bidi="ar-SA"/>
                <w14:textFill>
                  <w14:solidFill>
                    <w14:schemeClr w14:val="tx1"/>
                  </w14:solidFill>
                </w14:textFill>
              </w:rPr>
              <w:t>建安C证</w:t>
            </w:r>
          </w:p>
        </w:tc>
        <w:tc>
          <w:tcPr>
            <w:tcW w:w="1430" w:type="dxa"/>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color w:val="auto"/>
          <w:sz w:val="21"/>
          <w:szCs w:val="21"/>
          <w:highlight w:val="none"/>
          <w:lang w:val="en-US" w:eastAsia="zh-CN"/>
        </w:rPr>
        <w:t>现场管理人员应提供身份证及安全证</w:t>
      </w:r>
    </w:p>
    <w:p>
      <w:pPr>
        <w:pStyle w:val="6"/>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武大高速公路房建项目围墙工程施工分包询价第</w:t>
      </w:r>
      <w:r>
        <w:rPr>
          <w:rFonts w:hint="eastAsia"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lang w:val="en-US" w:eastAsia="zh-CN"/>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3"/>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sz w:val="18"/>
        <w:lang w:val="en-US" w:eastAsia="zh-CN"/>
      </w:rPr>
      <w:t>武大高速公路房建项目围墙工程施工分包</w:t>
    </w:r>
    <w:r>
      <w:rPr>
        <w:rFonts w:hint="default"/>
        <w:sz w:val="18"/>
        <w:lang w:val="en-US"/>
      </w:rPr>
      <w:pict>
        <v:shape id="_x0000_s2049" o:spid="_x0000_s2049" o:spt="136" type="#_x0000_t136" style="position:absolute;left:0pt;height:42pt;width:321.55pt;mso-position-horizontal:center;mso-position-horizontal-relative:margin;mso-position-vertical:center;mso-position-vertical-relative:margin;rotation:-2949120f;z-index:-251657216;mso-width-relative:page;mso-height-relative:page;" fillcolor="#C0C0C0" filled="t" stroked="f" coordsize="21600,21600" adj="10800">
          <v:path/>
          <v:fill on="t" color2="#FFFFFF" opacity="32768f" focussize="0,0"/>
          <v:stroke on="f"/>
          <v:imagedata o:title=""/>
          <o:lock v:ext="edit" aspectratio="t"/>
          <v:textpath on="t" fitshape="t" fitpath="t" trim="t" xscale="f" string="第九版修订" style="font-family:微软雅黑;font-size:32pt;v-same-letter-heights:f;v-text-align:center;"/>
        </v:shape>
      </w:pict>
    </w:r>
    <w:r>
      <w:rPr>
        <w:rFonts w:hint="eastAsia" w:ascii="微软雅黑" w:hAnsi="微软雅黑" w:eastAsia="微软雅黑" w:cs="微软雅黑"/>
        <w:sz w:val="21"/>
        <w:szCs w:val="21"/>
        <w:lang w:val="en-US" w:eastAsia="zh-CN"/>
      </w:rPr>
      <w:t xml:space="preserve">                                     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DgyMzE1ZTNkNDQwZjViNzg4OTI5NzcwZGY4YjkifQ=="/>
  </w:docVars>
  <w:rsids>
    <w:rsidRoot w:val="2380353E"/>
    <w:rsid w:val="2380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unhideWhenUsed/>
    <w:qFormat/>
    <w:uiPriority w:val="99"/>
    <w:pPr>
      <w:spacing w:after="120"/>
    </w:p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spacing w:line="240" w:lineRule="atLeas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2022-09-22T09:34:00Z</dcterms:created>
  <dc:creator>yaoyao</dc:creator>
  <cp:lastModifiedBy>yaoyao</cp:lastModifiedBy>
  <dcterms:modified xsi:type="dcterms:W3CDTF">2022-09-22T09:35:40Z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58BA587514E44948B9A487C410965D85</vt:lpwstr>
  </property>
</Properties>
</file>