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9"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w:t>
            </w:r>
          </w:p>
        </w:tc>
        <w:tc>
          <w:tcPr>
            <w:tcW w:w="4210"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声屏障材料采购合同</w:t>
            </w:r>
          </w:p>
        </w:tc>
        <w:tc>
          <w:tcPr>
            <w:tcW w:w="42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1、申请人若为生产厂家，</w:t>
            </w:r>
            <w:r>
              <w:rPr>
                <w:rFonts w:hint="default" w:ascii="Times New Roman" w:hAnsi="Times New Roman" w:cs="Times New Roman"/>
                <w:color w:val="auto"/>
                <w:sz w:val="24"/>
                <w:szCs w:val="24"/>
              </w:rPr>
              <w:t>须同时具备：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（1）独立的法人资格，具备有效的《营业执照》；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2、申请人若为经销商，须同时具备：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000000"/>
                <w:sz w:val="24"/>
                <w:szCs w:val="24"/>
                <w:lang w:val="en-US" w:eastAsia="zh-CN"/>
              </w:rPr>
              <w:t>（1）独立的法人资格，具备有效的《营业执照》</w:t>
            </w:r>
            <w:r>
              <w:rPr>
                <w:rFonts w:hint="default" w:ascii="Times New Roman" w:hAnsi="Times New Roman" w:cs="Times New Roman"/>
                <w:color w:val="000000"/>
                <w:sz w:val="24"/>
                <w:szCs w:val="24"/>
                <w:highlight w:val="none"/>
                <w:lang w:val="en-US" w:eastAsia="zh-CN"/>
              </w:rPr>
              <w:t>。</w:t>
            </w: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p>
      <w:pPr>
        <w:pStyle w:val="2"/>
        <w:keepNext w:val="0"/>
        <w:keepLines w:val="0"/>
        <w:pageBreakBefore w:val="0"/>
        <w:kinsoku/>
        <w:overflowPunct/>
        <w:topLinePunct w:val="0"/>
        <w:autoSpaceDE/>
        <w:autoSpaceDN/>
        <w:bidi w:val="0"/>
        <w:spacing w:after="0" w:line="360" w:lineRule="auto"/>
        <w:ind w:left="480" w:firstLine="480"/>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37"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w:t>
            </w:r>
          </w:p>
        </w:tc>
        <w:tc>
          <w:tcPr>
            <w:tcW w:w="7724"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37"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sz w:val="24"/>
                <w:szCs w:val="24"/>
                <w:lang w:val="en-US" w:eastAsia="zh-CN"/>
              </w:rPr>
              <w:t>声屏障材料采购合同</w:t>
            </w:r>
          </w:p>
        </w:tc>
        <w:tc>
          <w:tcPr>
            <w:tcW w:w="7724" w:type="dxa"/>
            <w:noWrap w:val="0"/>
            <w:vAlign w:val="center"/>
          </w:tcPr>
          <w:p>
            <w:pPr>
              <w:keepNext w:val="0"/>
              <w:keepLines w:val="0"/>
              <w:pageBreakBefore w:val="0"/>
              <w:widowControl/>
              <w:kinsoku/>
              <w:overflowPunct/>
              <w:topLinePunct w:val="0"/>
              <w:autoSpaceDE/>
              <w:autoSpaceDN/>
              <w:bidi w:val="0"/>
              <w:spacing w:line="360" w:lineRule="auto"/>
              <w:rPr>
                <w:rFonts w:hint="default" w:ascii="Times New Roman" w:hAnsi="Times New Roman" w:eastAsia="宋体" w:cs="Times New Roman"/>
                <w:i w:val="0"/>
                <w:color w:val="000000"/>
                <w:kern w:val="0"/>
                <w:sz w:val="24"/>
                <w:szCs w:val="22"/>
                <w:highlight w:val="none"/>
                <w:u w:val="none"/>
                <w:lang w:val="en-US" w:eastAsia="zh-CN" w:bidi="ar"/>
              </w:rPr>
            </w:pPr>
            <w:r>
              <w:rPr>
                <w:rFonts w:hint="default" w:ascii="Times New Roman" w:hAnsi="Times New Roman" w:cs="Times New Roman"/>
                <w:i w:val="0"/>
                <w:color w:val="000000"/>
                <w:kern w:val="0"/>
                <w:sz w:val="24"/>
                <w:szCs w:val="22"/>
                <w:highlight w:val="none"/>
                <w:u w:val="none"/>
                <w:lang w:val="en-US" w:eastAsia="zh-CN" w:bidi="ar"/>
              </w:rPr>
              <w:t>第</w:t>
            </w:r>
            <w:r>
              <w:rPr>
                <w:rFonts w:hint="default" w:ascii="Times New Roman" w:hAnsi="Times New Roman" w:eastAsia="宋体" w:cs="Times New Roman"/>
                <w:i w:val="0"/>
                <w:color w:val="000000"/>
                <w:kern w:val="0"/>
                <w:sz w:val="24"/>
                <w:szCs w:val="22"/>
                <w:highlight w:val="none"/>
                <w:u w:val="none"/>
                <w:lang w:val="en-US" w:eastAsia="zh-CN" w:bidi="ar"/>
              </w:rPr>
              <w:t>一种方式</w:t>
            </w:r>
          </w:p>
          <w:p>
            <w:pPr>
              <w:keepNext w:val="0"/>
              <w:keepLines w:val="0"/>
              <w:pageBreakBefore w:val="0"/>
              <w:widowControl/>
              <w:kinsoku/>
              <w:overflowPunct/>
              <w:topLinePunct w:val="0"/>
              <w:autoSpaceDE/>
              <w:autoSpaceDN/>
              <w:bidi w:val="0"/>
              <w:spacing w:line="360" w:lineRule="auto"/>
              <w:rPr>
                <w:rFonts w:hint="default" w:ascii="Times New Roman" w:hAnsi="Times New Roman" w:eastAsia="宋体" w:cs="Times New Roman"/>
                <w:i w:val="0"/>
                <w:color w:val="000000"/>
                <w:kern w:val="0"/>
                <w:sz w:val="24"/>
                <w:szCs w:val="22"/>
                <w:highlight w:val="none"/>
                <w:u w:val="none"/>
                <w:lang w:val="en-US" w:eastAsia="zh-CN" w:bidi="ar"/>
              </w:rPr>
            </w:pPr>
            <w:r>
              <w:rPr>
                <w:rFonts w:hint="default" w:ascii="Times New Roman" w:hAnsi="Times New Roman" w:eastAsia="宋体" w:cs="Times New Roman"/>
                <w:i w:val="0"/>
                <w:color w:val="000000"/>
                <w:kern w:val="0"/>
                <w:sz w:val="24"/>
                <w:szCs w:val="22"/>
                <w:highlight w:val="none"/>
                <w:u w:val="none"/>
                <w:lang w:val="en-US" w:eastAsia="zh-CN" w:bidi="ar"/>
              </w:rPr>
              <w:t>近三年每年的营业收入不少于</w:t>
            </w:r>
            <w:r>
              <w:rPr>
                <w:rFonts w:hint="eastAsia" w:cs="Times New Roman"/>
                <w:i w:val="0"/>
                <w:color w:val="000000"/>
                <w:kern w:val="0"/>
                <w:sz w:val="24"/>
                <w:szCs w:val="22"/>
                <w:highlight w:val="none"/>
                <w:u w:val="none"/>
                <w:lang w:val="en-US" w:eastAsia="zh-CN" w:bidi="ar"/>
              </w:rPr>
              <w:t>300</w:t>
            </w:r>
            <w:r>
              <w:rPr>
                <w:rFonts w:hint="default" w:ascii="Times New Roman" w:hAnsi="Times New Roman" w:eastAsia="宋体" w:cs="Times New Roman"/>
                <w:i w:val="0"/>
                <w:color w:val="000000"/>
                <w:kern w:val="0"/>
                <w:sz w:val="24"/>
                <w:szCs w:val="22"/>
                <w:highlight w:val="none"/>
                <w:u w:val="none"/>
                <w:lang w:val="en-US" w:eastAsia="zh-CN" w:bidi="ar"/>
              </w:rPr>
              <w:t>万元</w:t>
            </w:r>
            <w:r>
              <w:rPr>
                <w:rFonts w:hint="default" w:ascii="Times New Roman" w:hAnsi="Times New Roman" w:cs="Times New Roman"/>
                <w:i w:val="0"/>
                <w:color w:val="000000"/>
                <w:kern w:val="0"/>
                <w:sz w:val="24"/>
                <w:szCs w:val="22"/>
                <w:highlight w:val="none"/>
                <w:u w:val="none"/>
                <w:lang w:val="en-US" w:eastAsia="zh-CN" w:bidi="ar"/>
              </w:rPr>
              <w:t>，</w:t>
            </w:r>
            <w:r>
              <w:rPr>
                <w:rFonts w:hint="default" w:ascii="Times New Roman" w:hAnsi="Times New Roman" w:eastAsia="宋体" w:cs="Times New Roman"/>
                <w:i w:val="0"/>
                <w:color w:val="000000"/>
                <w:kern w:val="0"/>
                <w:sz w:val="24"/>
                <w:szCs w:val="22"/>
                <w:highlight w:val="none"/>
                <w:u w:val="none"/>
                <w:lang w:val="en-US" w:eastAsia="zh-CN" w:bidi="ar"/>
              </w:rPr>
              <w:t>近三年平均净资产不少于</w:t>
            </w:r>
            <w:r>
              <w:rPr>
                <w:rFonts w:hint="eastAsia" w:cs="Times New Roman"/>
                <w:i w:val="0"/>
                <w:color w:val="000000"/>
                <w:kern w:val="0"/>
                <w:sz w:val="24"/>
                <w:szCs w:val="22"/>
                <w:highlight w:val="none"/>
                <w:u w:val="none"/>
                <w:lang w:val="en-US" w:eastAsia="zh-CN" w:bidi="ar"/>
              </w:rPr>
              <w:t>60</w:t>
            </w:r>
            <w:r>
              <w:rPr>
                <w:rFonts w:hint="default" w:ascii="Times New Roman" w:hAnsi="Times New Roman" w:eastAsia="宋体" w:cs="Times New Roman"/>
                <w:i w:val="0"/>
                <w:color w:val="000000"/>
                <w:kern w:val="0"/>
                <w:sz w:val="24"/>
                <w:szCs w:val="22"/>
                <w:highlight w:val="none"/>
                <w:u w:val="none"/>
                <w:lang w:val="en-US" w:eastAsia="zh-CN" w:bidi="ar"/>
              </w:rPr>
              <w:t>万元。</w:t>
            </w:r>
          </w:p>
          <w:p>
            <w:pPr>
              <w:keepNext w:val="0"/>
              <w:keepLines w:val="0"/>
              <w:pageBreakBefore w:val="0"/>
              <w:widowControl/>
              <w:kinsoku/>
              <w:overflowPunct/>
              <w:topLinePunct w:val="0"/>
              <w:autoSpaceDE/>
              <w:autoSpaceDN/>
              <w:bidi w:val="0"/>
              <w:spacing w:line="360" w:lineRule="auto"/>
              <w:rPr>
                <w:rFonts w:hint="default" w:ascii="Times New Roman" w:hAnsi="Times New Roman" w:eastAsia="宋体" w:cs="Times New Roman"/>
                <w:i w:val="0"/>
                <w:color w:val="000000"/>
                <w:kern w:val="0"/>
                <w:sz w:val="24"/>
                <w:szCs w:val="22"/>
                <w:highlight w:val="none"/>
                <w:u w:val="none"/>
                <w:lang w:val="en-US" w:eastAsia="zh-CN" w:bidi="ar"/>
              </w:rPr>
            </w:pPr>
            <w:r>
              <w:rPr>
                <w:rFonts w:hint="default" w:ascii="Times New Roman" w:hAnsi="Times New Roman" w:eastAsia="宋体" w:cs="Times New Roman"/>
                <w:i w:val="0"/>
                <w:color w:val="000000"/>
                <w:kern w:val="0"/>
                <w:sz w:val="24"/>
                <w:szCs w:val="22"/>
                <w:highlight w:val="none"/>
                <w:u w:val="none"/>
                <w:lang w:val="en-US" w:eastAsia="zh-CN" w:bidi="ar"/>
              </w:rPr>
              <w:t>第二种方式</w:t>
            </w:r>
          </w:p>
          <w:p>
            <w:pPr>
              <w:keepNext w:val="0"/>
              <w:keepLines w:val="0"/>
              <w:pageBreakBefore w:val="0"/>
              <w:widowControl/>
              <w:kinsoku/>
              <w:overflowPunct/>
              <w:topLinePunct w:val="0"/>
              <w:autoSpaceDE/>
              <w:autoSpaceDN/>
              <w:bidi w:val="0"/>
              <w:spacing w:line="360" w:lineRule="auto"/>
              <w:rPr>
                <w:rFonts w:hint="default" w:ascii="Times New Roman" w:hAnsi="Times New Roman" w:eastAsia="宋体" w:cs="Times New Roman"/>
                <w:i w:val="0"/>
                <w:color w:val="000000"/>
                <w:kern w:val="0"/>
                <w:sz w:val="24"/>
                <w:szCs w:val="22"/>
                <w:highlight w:val="none"/>
                <w:u w:val="none"/>
                <w:lang w:val="en-US" w:eastAsia="zh-CN" w:bidi="ar"/>
              </w:rPr>
            </w:pPr>
            <w:r>
              <w:rPr>
                <w:rFonts w:hint="default" w:ascii="Times New Roman" w:hAnsi="Times New Roman" w:eastAsia="宋体" w:cs="Times New Roman"/>
                <w:i w:val="0"/>
                <w:color w:val="000000"/>
                <w:kern w:val="0"/>
                <w:sz w:val="24"/>
                <w:szCs w:val="22"/>
                <w:highlight w:val="none"/>
                <w:u w:val="none"/>
                <w:lang w:val="en-US" w:eastAsia="zh-CN" w:bidi="ar"/>
              </w:rPr>
              <w:t>由银行出具</w:t>
            </w:r>
            <w:r>
              <w:rPr>
                <w:rFonts w:hint="default" w:ascii="Times New Roman" w:hAnsi="Times New Roman" w:eastAsia="宋体" w:cs="Times New Roman"/>
                <w:b/>
                <w:bCs/>
                <w:i w:val="0"/>
                <w:color w:val="000000"/>
                <w:kern w:val="0"/>
                <w:sz w:val="24"/>
                <w:szCs w:val="22"/>
                <w:highlight w:val="none"/>
                <w:u w:val="none"/>
                <w:lang w:val="en-US" w:eastAsia="zh-CN" w:bidi="ar"/>
              </w:rPr>
              <w:t>（须有银行盖章）</w:t>
            </w:r>
            <w:r>
              <w:rPr>
                <w:rFonts w:hint="default" w:ascii="Times New Roman" w:hAnsi="Times New Roman" w:eastAsia="宋体" w:cs="Times New Roman"/>
                <w:i w:val="0"/>
                <w:color w:val="000000"/>
                <w:kern w:val="0"/>
                <w:sz w:val="24"/>
                <w:szCs w:val="22"/>
                <w:highlight w:val="none"/>
                <w:u w:val="none"/>
                <w:lang w:val="en-US" w:eastAsia="zh-CN" w:bidi="ar"/>
              </w:rPr>
              <w:t>申请日前3个月内（202</w:t>
            </w:r>
            <w:r>
              <w:rPr>
                <w:rFonts w:hint="eastAsia" w:cs="Times New Roman"/>
                <w:i w:val="0"/>
                <w:color w:val="000000"/>
                <w:kern w:val="0"/>
                <w:sz w:val="24"/>
                <w:szCs w:val="22"/>
                <w:highlight w:val="none"/>
                <w:u w:val="none"/>
                <w:lang w:val="en-US" w:eastAsia="zh-CN" w:bidi="ar"/>
              </w:rPr>
              <w:t>2</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6月</w:t>
            </w:r>
            <w:r>
              <w:rPr>
                <w:rFonts w:hint="default" w:ascii="Times New Roman" w:hAnsi="Times New Roman" w:eastAsia="宋体" w:cs="Times New Roman"/>
                <w:i w:val="0"/>
                <w:color w:val="000000"/>
                <w:kern w:val="0"/>
                <w:sz w:val="24"/>
                <w:szCs w:val="22"/>
                <w:highlight w:val="none"/>
                <w:u w:val="none"/>
                <w:lang w:val="en-US" w:eastAsia="zh-CN" w:bidi="ar"/>
              </w:rPr>
              <w:t>、202</w:t>
            </w:r>
            <w:r>
              <w:rPr>
                <w:rFonts w:hint="eastAsia" w:cs="Times New Roman"/>
                <w:i w:val="0"/>
                <w:color w:val="000000"/>
                <w:kern w:val="0"/>
                <w:sz w:val="24"/>
                <w:szCs w:val="22"/>
                <w:highlight w:val="none"/>
                <w:u w:val="none"/>
                <w:lang w:val="en-US" w:eastAsia="zh-CN" w:bidi="ar"/>
              </w:rPr>
              <w:t>2</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7</w:t>
            </w:r>
            <w:r>
              <w:rPr>
                <w:rFonts w:hint="default" w:ascii="Times New Roman" w:hAnsi="Times New Roman" w:eastAsia="宋体" w:cs="Times New Roman"/>
                <w:i w:val="0"/>
                <w:color w:val="000000"/>
                <w:kern w:val="0"/>
                <w:sz w:val="24"/>
                <w:szCs w:val="22"/>
                <w:highlight w:val="none"/>
                <w:u w:val="none"/>
                <w:lang w:val="en-US" w:eastAsia="zh-CN" w:bidi="ar"/>
              </w:rPr>
              <w:t>月、202</w:t>
            </w:r>
            <w:r>
              <w:rPr>
                <w:rFonts w:hint="eastAsia" w:cs="Times New Roman"/>
                <w:i w:val="0"/>
                <w:color w:val="000000"/>
                <w:kern w:val="0"/>
                <w:sz w:val="24"/>
                <w:szCs w:val="22"/>
                <w:highlight w:val="none"/>
                <w:u w:val="none"/>
                <w:lang w:val="en-US" w:eastAsia="zh-CN" w:bidi="ar"/>
              </w:rPr>
              <w:t>2</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8</w:t>
            </w:r>
            <w:r>
              <w:rPr>
                <w:rFonts w:hint="default" w:ascii="Times New Roman" w:hAnsi="Times New Roman" w:eastAsia="宋体" w:cs="Times New Roman"/>
                <w:i w:val="0"/>
                <w:color w:val="000000"/>
                <w:kern w:val="0"/>
                <w:sz w:val="24"/>
                <w:szCs w:val="22"/>
                <w:highlight w:val="none"/>
                <w:u w:val="none"/>
                <w:lang w:val="en-US" w:eastAsia="zh-CN" w:bidi="ar"/>
              </w:rPr>
              <w:t>月）的单位账户流水证明，每月月末账户余额平均值不少于</w:t>
            </w:r>
            <w:r>
              <w:rPr>
                <w:rFonts w:hint="eastAsia" w:cs="Times New Roman"/>
                <w:i w:val="0"/>
                <w:color w:val="000000"/>
                <w:kern w:val="0"/>
                <w:sz w:val="24"/>
                <w:szCs w:val="22"/>
                <w:highlight w:val="none"/>
                <w:u w:val="none"/>
                <w:lang w:val="en-US" w:eastAsia="zh-CN" w:bidi="ar"/>
              </w:rPr>
              <w:t>9</w:t>
            </w:r>
            <w:r>
              <w:rPr>
                <w:rFonts w:hint="default" w:ascii="Times New Roman" w:hAnsi="Times New Roman" w:eastAsia="宋体" w:cs="Times New Roman"/>
                <w:i w:val="0"/>
                <w:color w:val="000000"/>
                <w:kern w:val="0"/>
                <w:sz w:val="24"/>
                <w:szCs w:val="22"/>
                <w:highlight w:val="none"/>
                <w:u w:val="none"/>
                <w:lang w:val="en-US" w:eastAsia="zh-CN" w:bidi="ar"/>
              </w:rPr>
              <w:t>万元。</w:t>
            </w:r>
          </w:p>
          <w:p>
            <w:pPr>
              <w:keepNext w:val="0"/>
              <w:keepLines w:val="0"/>
              <w:pageBreakBefore w:val="0"/>
              <w:widowControl/>
              <w:kinsoku/>
              <w:overflowPunct/>
              <w:topLinePunct w:val="0"/>
              <w:autoSpaceDE/>
              <w:autoSpaceDN/>
              <w:bidi w:val="0"/>
              <w:spacing w:line="360" w:lineRule="auto"/>
              <w:rPr>
                <w:rFonts w:hint="default" w:ascii="Times New Roman" w:hAnsi="Times New Roman" w:cs="Times New Roman"/>
                <w:color w:val="auto"/>
                <w:szCs w:val="28"/>
              </w:rPr>
            </w:pPr>
            <w:r>
              <w:rPr>
                <w:rFonts w:hint="default" w:ascii="Times New Roman" w:hAnsi="Times New Roman" w:eastAsia="宋体" w:cs="Times New Roman"/>
                <w:i w:val="0"/>
                <w:color w:val="000000"/>
                <w:kern w:val="0"/>
                <w:sz w:val="24"/>
                <w:szCs w:val="22"/>
                <w:highlight w:val="none"/>
                <w:u w:val="none"/>
                <w:lang w:val="en-US" w:eastAsia="zh-CN" w:bidi="ar"/>
              </w:rPr>
              <w:t>上述两种方式满足其中一种即可。</w:t>
            </w:r>
          </w:p>
        </w:tc>
      </w:tr>
    </w:tbl>
    <w:p>
      <w:pPr>
        <w:keepNext w:val="0"/>
        <w:keepLines w:val="0"/>
        <w:pageBreakBefore w:val="0"/>
        <w:kinsoku/>
        <w:overflowPunct/>
        <w:topLinePunct w:val="0"/>
        <w:autoSpaceDE/>
        <w:autoSpaceDN/>
        <w:bidi w:val="0"/>
        <w:snapToGrid w:val="0"/>
        <w:spacing w:line="360" w:lineRule="auto"/>
        <w:ind w:firstLine="420" w:firstLineChars="200"/>
        <w:outlineLvl w:val="9"/>
        <w:rPr>
          <w:rFonts w:hint="default" w:ascii="Times New Roman" w:hAnsi="Times New Roman" w:eastAsia="黑体" w:cs="Times New Roman"/>
          <w:sz w:val="21"/>
        </w:rPr>
      </w:pPr>
      <w:r>
        <w:rPr>
          <w:rFonts w:hint="default" w:ascii="Times New Roman" w:hAnsi="Times New Roman" w:eastAsia="黑体" w:cs="Times New Roman"/>
          <w:color w:val="auto"/>
          <w:sz w:val="21"/>
        </w:rPr>
        <w:t>注：1.采用第一种方式应附</w:t>
      </w:r>
      <w:r>
        <w:rPr>
          <w:rFonts w:hint="default" w:ascii="Times New Roman" w:hAnsi="Times New Roman" w:eastAsia="黑体" w:cs="Times New Roman"/>
          <w:sz w:val="21"/>
          <w:szCs w:val="24"/>
        </w:rPr>
        <w:t>经会计师事务所或审计机构审计的</w:t>
      </w:r>
      <w:r>
        <w:rPr>
          <w:rFonts w:hint="default" w:ascii="Times New Roman" w:hAnsi="Times New Roman" w:eastAsia="黑体" w:cs="Times New Roman"/>
          <w:color w:val="auto"/>
          <w:sz w:val="21"/>
        </w:rPr>
        <w:t>财务会计报表，</w:t>
      </w:r>
      <w:r>
        <w:rPr>
          <w:rFonts w:hint="eastAsia"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sz w:val="21"/>
          <w:szCs w:val="24"/>
        </w:rPr>
        <w:t>经会计师事务所或审计机构审计的财务会计报表</w:t>
      </w:r>
      <w:r>
        <w:rPr>
          <w:rFonts w:hint="default" w:ascii="Times New Roman" w:hAnsi="Times New Roman" w:eastAsia="黑体" w:cs="Times New Roman"/>
          <w:color w:val="auto"/>
          <w:sz w:val="21"/>
        </w:rPr>
        <w:t>。</w:t>
      </w:r>
      <w:r>
        <w:rPr>
          <w:rFonts w:hint="default" w:ascii="Times New Roman" w:hAnsi="Times New Roman" w:eastAsia="黑体" w:cs="Times New Roman"/>
          <w:sz w:val="21"/>
        </w:rPr>
        <w:t>若</w:t>
      </w:r>
      <w:r>
        <w:rPr>
          <w:rFonts w:hint="default" w:ascii="Times New Roman" w:hAnsi="Times New Roman" w:eastAsia="黑体" w:cs="Times New Roman"/>
          <w:sz w:val="21"/>
          <w:lang w:val="en-US" w:eastAsia="zh-CN"/>
        </w:rPr>
        <w:t>最近年</w:t>
      </w:r>
      <w:r>
        <w:rPr>
          <w:rFonts w:hint="default" w:ascii="Times New Roman" w:hAnsi="Times New Roman" w:eastAsia="黑体" w:cs="Times New Roman"/>
          <w:sz w:val="21"/>
        </w:rPr>
        <w:t>度会计报表未出，则近三年时间往前推算一年。</w:t>
      </w:r>
    </w:p>
    <w:p>
      <w:pPr>
        <w:pStyle w:val="9"/>
        <w:keepNext w:val="0"/>
        <w:keepLines w:val="0"/>
        <w:pageBreakBefore w:val="0"/>
        <w:kinsoku/>
        <w:overflowPunct/>
        <w:topLinePunct w:val="0"/>
        <w:autoSpaceDE/>
        <w:autoSpaceDN/>
        <w:bidi w:val="0"/>
        <w:spacing w:line="360" w:lineRule="auto"/>
        <w:ind w:firstLine="840" w:firstLineChars="40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2.采用第二种方式应附银行出具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p>
    <w:p>
      <w:pPr>
        <w:keepNext w:val="0"/>
        <w:keepLines w:val="0"/>
        <w:pageBreakBefore w:val="0"/>
        <w:kinsoku/>
        <w:overflowPunct/>
        <w:topLinePunct w:val="0"/>
        <w:autoSpaceDE/>
        <w:autoSpaceDN/>
        <w:bidi w:val="0"/>
        <w:snapToGrid w:val="0"/>
        <w:spacing w:line="360" w:lineRule="auto"/>
        <w:ind w:firstLine="960" w:firstLineChars="400"/>
        <w:rPr>
          <w:rFonts w:hint="default" w:ascii="Times New Roman" w:hAnsi="Times New Roman" w:eastAsia="黑体" w:cs="Times New Roman"/>
          <w:color w:val="auto"/>
        </w:rPr>
      </w:pP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sz w:val="24"/>
                <w:szCs w:val="24"/>
                <w:lang w:val="en-US" w:eastAsia="zh-CN"/>
              </w:rPr>
              <w:t>声屏障材料采购合同</w:t>
            </w:r>
          </w:p>
        </w:tc>
        <w:tc>
          <w:tcPr>
            <w:tcW w:w="7073" w:type="dxa"/>
            <w:noWrap w:val="0"/>
            <w:vAlign w:val="center"/>
          </w:tcPr>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r>
              <w:rPr>
                <w:rFonts w:hint="default" w:ascii="Times New Roman" w:hAnsi="Times New Roman" w:eastAsia="宋体" w:cs="Times New Roman"/>
                <w:caps w:val="0"/>
                <w:color w:val="auto"/>
                <w:sz w:val="24"/>
                <w:szCs w:val="24"/>
                <w:highlight w:val="none"/>
              </w:rPr>
              <w:t>近3年（201</w:t>
            </w:r>
            <w:r>
              <w:rPr>
                <w:rFonts w:hint="eastAsia" w:ascii="Times New Roman" w:hAnsi="Times New Roman" w:eastAsia="宋体" w:cs="Times New Roman"/>
                <w:caps w:val="0"/>
                <w:color w:val="auto"/>
                <w:sz w:val="24"/>
                <w:szCs w:val="24"/>
                <w:highlight w:val="none"/>
                <w:lang w:val="en-US" w:eastAsia="zh-CN"/>
              </w:rPr>
              <w:t>9</w:t>
            </w:r>
            <w:r>
              <w:rPr>
                <w:rFonts w:hint="default" w:ascii="Times New Roman" w:hAnsi="Times New Roman" w:eastAsia="宋体" w:cs="Times New Roman"/>
                <w:caps w:val="0"/>
                <w:color w:val="auto"/>
                <w:sz w:val="24"/>
                <w:szCs w:val="24"/>
                <w:highlight w:val="none"/>
              </w:rPr>
              <w:t>年1月1日至申请截止日）</w:t>
            </w:r>
            <w:r>
              <w:rPr>
                <w:rFonts w:hint="default" w:ascii="Times New Roman" w:hAnsi="Times New Roman" w:eastAsia="宋体" w:cs="Times New Roman"/>
                <w:caps w:val="0"/>
                <w:color w:val="auto"/>
                <w:sz w:val="24"/>
                <w:szCs w:val="24"/>
                <w:highlight w:val="none"/>
                <w:lang w:val="en-US" w:eastAsia="zh-CN"/>
              </w:rPr>
              <w:t>承担过1</w:t>
            </w:r>
            <w:r>
              <w:rPr>
                <w:rFonts w:hint="eastAsia" w:cs="Times New Roman"/>
                <w:caps w:val="0"/>
                <w:color w:val="auto"/>
                <w:sz w:val="24"/>
                <w:szCs w:val="24"/>
                <w:highlight w:val="none"/>
                <w:lang w:val="en-US" w:eastAsia="zh-CN"/>
              </w:rPr>
              <w:t>个</w:t>
            </w:r>
            <w:r>
              <w:rPr>
                <w:rFonts w:hint="eastAsia" w:ascii="Times New Roman" w:hAnsi="Times New Roman" w:cs="Times New Roman"/>
                <w:caps w:val="0"/>
                <w:color w:val="auto"/>
                <w:sz w:val="24"/>
                <w:szCs w:val="24"/>
                <w:highlight w:val="none"/>
                <w:lang w:val="en-US" w:eastAsia="zh-CN"/>
              </w:rPr>
              <w:t>声屏障材料</w:t>
            </w:r>
            <w:r>
              <w:rPr>
                <w:rFonts w:hint="eastAsia" w:cs="Times New Roman"/>
                <w:caps w:val="0"/>
                <w:color w:val="auto"/>
                <w:sz w:val="24"/>
                <w:szCs w:val="24"/>
                <w:highlight w:val="none"/>
                <w:lang w:val="en-US" w:eastAsia="zh-CN"/>
              </w:rPr>
              <w:t>的</w:t>
            </w:r>
            <w:r>
              <w:rPr>
                <w:rFonts w:hint="default" w:ascii="Times New Roman" w:hAnsi="Times New Roman" w:eastAsia="宋体" w:cs="Times New Roman"/>
                <w:caps w:val="0"/>
                <w:color w:val="auto"/>
                <w:sz w:val="24"/>
                <w:szCs w:val="24"/>
                <w:highlight w:val="none"/>
                <w:lang w:val="en-US" w:eastAsia="zh-CN"/>
              </w:rPr>
              <w:t>供应</w:t>
            </w:r>
            <w:r>
              <w:rPr>
                <w:rFonts w:hint="default" w:ascii="Times New Roman" w:hAnsi="Times New Roman" w:eastAsia="宋体" w:cs="Times New Roman"/>
                <w:caps w:val="0"/>
                <w:color w:val="auto"/>
                <w:sz w:val="24"/>
                <w:szCs w:val="24"/>
                <w:highlight w:val="none"/>
              </w:rPr>
              <w:t>业绩。</w:t>
            </w:r>
          </w:p>
        </w:tc>
      </w:tr>
    </w:tbl>
    <w:p>
      <w:pPr>
        <w:pStyle w:val="9"/>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lang w:val="en-US" w:eastAsia="zh-CN"/>
        </w:rPr>
        <w:t>1.</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sz w:val="24"/>
                <w:szCs w:val="24"/>
                <w:lang w:val="en-US" w:eastAsia="zh-CN"/>
              </w:rPr>
              <w:t>声屏障材料采购合同</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2、处于被交通运输部或湖北省交通运输主管部门做出禁止进入公路建设市场的处罚且处于有效期内；</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eastAsia"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2"/>
        <w:keepNext w:val="0"/>
        <w:keepLines w:val="0"/>
        <w:pageBreakBefore w:val="0"/>
        <w:kinsoku/>
        <w:overflowPunct/>
        <w:topLinePunct w:val="0"/>
        <w:autoSpaceDE/>
        <w:autoSpaceDN/>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对以上（1）、（2）、（4）信用状况应附指定网站截图，截图时间为遴选公告发布之日至申请截止日之间。</w:t>
      </w:r>
    </w:p>
    <w:p>
      <w:pPr>
        <w:pStyle w:val="5"/>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cs="Times New Roman"/>
          <w:sz w:val="32"/>
          <w:szCs w:val="32"/>
          <w:lang w:val="en-US" w:eastAsia="zh-CN"/>
        </w:rPr>
      </w:pPr>
      <w:r>
        <w:rPr>
          <w:rFonts w:hint="default" w:ascii="Times New Roman" w:hAnsi="Times New Roman" w:eastAsia="黑体" w:cs="Times New Roman"/>
          <w:lang w:val="en-US" w:eastAsia="zh-CN"/>
        </w:rPr>
        <w:br w:type="page"/>
      </w:r>
      <w:r>
        <w:rPr>
          <w:rFonts w:hint="default" w:ascii="Times New Roman" w:hAnsi="Times New Roman" w:cs="Times New Roman"/>
          <w:color w:val="auto"/>
          <w:sz w:val="32"/>
          <w:szCs w:val="32"/>
          <w:lang w:val="en-US" w:eastAsia="zh-CN"/>
        </w:rPr>
        <w:t>附件</w:t>
      </w:r>
      <w:r>
        <w:rPr>
          <w:rFonts w:hint="eastAsia" w:ascii="Times New Roman" w:cs="Times New Roman"/>
          <w:color w:val="auto"/>
          <w:sz w:val="32"/>
          <w:szCs w:val="32"/>
          <w:lang w:val="en-US" w:eastAsia="zh-CN"/>
        </w:rPr>
        <w:t>2</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kinsoku/>
        <w:overflowPunct/>
        <w:topLinePunct w:val="0"/>
        <w:autoSpaceDE/>
        <w:autoSpaceDN/>
        <w:bidi w:val="0"/>
        <w:spacing w:line="360" w:lineRule="auto"/>
        <w:jc w:val="center"/>
        <w:rPr>
          <w:rFonts w:hint="eastAsia" w:cs="Times New Roman"/>
          <w:b/>
          <w:bCs/>
          <w:color w:val="auto"/>
          <w:sz w:val="32"/>
          <w:szCs w:val="32"/>
          <w:highlight w:val="none"/>
          <w:lang w:val="en-US" w:eastAsia="zh-CN"/>
        </w:rPr>
      </w:pPr>
      <w:r>
        <w:rPr>
          <w:rFonts w:hint="eastAsia" w:cs="Times New Roman"/>
          <w:b/>
          <w:bCs/>
          <w:color w:val="auto"/>
          <w:sz w:val="32"/>
          <w:szCs w:val="32"/>
          <w:highlight w:val="none"/>
          <w:lang w:val="en-US" w:eastAsia="zh-CN"/>
        </w:rPr>
        <w:t>鄂东片区RCYH-1标鄂东分部声屏障材料采购</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申请单位报名登记表</w:t>
      </w: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lang w:val="en-US" w:eastAsia="zh-CN"/>
        </w:rPr>
      </w:pPr>
    </w:p>
    <w:tbl>
      <w:tblPr>
        <w:tblStyle w:val="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遴选文件</w:t>
            </w:r>
          </w:p>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r>
        <w:rPr>
          <w:rFonts w:hint="eastAsia" w:cs="Times New Roman"/>
          <w:b/>
          <w:bCs/>
          <w:color w:val="auto"/>
          <w:highlight w:val="yellow"/>
          <w:lang w:val="en-US" w:eastAsia="zh-CN"/>
        </w:rPr>
        <w:t>注：报名表发送邮箱时应注明“**公司参与***项目遴选报名”</w:t>
      </w:r>
    </w:p>
    <w:p>
      <w:pPr>
        <w:pStyle w:val="2"/>
        <w:ind w:left="0" w:leftChars="0" w:firstLine="0" w:firstLineChars="0"/>
        <w:rPr>
          <w:rFonts w:hint="default"/>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
        <w:keepNext w:val="0"/>
        <w:keepLines w:val="0"/>
        <w:pageBreakBefore w:val="0"/>
        <w:kinsoku/>
        <w:overflowPunct/>
        <w:topLinePunct w:val="0"/>
        <w:autoSpaceDE/>
        <w:autoSpaceDN/>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w:t>
      </w:r>
    </w:p>
    <w:p>
      <w:pPr>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sz w:val="40"/>
        </w:rPr>
      </w:pPr>
      <w:r>
        <w:rPr>
          <w:rFonts w:hint="default" w:ascii="Times New Roman" w:hAnsi="Times New Roman" w:cs="Times New Roman"/>
          <w:b w:val="0"/>
          <w:bCs/>
          <w:color w:val="auto"/>
          <w:sz w:val="28"/>
          <w:szCs w:val="28"/>
          <w:highlight w:val="none"/>
          <w:u w:val="single"/>
          <w:lang w:val="en-US" w:eastAsia="zh-CN"/>
        </w:rPr>
        <w:br w:type="page"/>
      </w:r>
      <w:bookmarkStart w:id="0" w:name="_GoBack"/>
      <w:bookmarkEnd w:id="0"/>
    </w:p>
    <w:p>
      <w:pPr>
        <w:spacing w:line="500" w:lineRule="exact"/>
        <w:jc w:val="center"/>
        <w:outlineLvl w:val="0"/>
        <w:rPr>
          <w:rFonts w:hint="default" w:ascii="Times New Roman" w:hAnsi="Times New Roman" w:eastAsia="黑体" w:cs="Times New Roman"/>
          <w:color w:val="auto"/>
          <w:sz w:val="40"/>
        </w:rPr>
      </w:pPr>
    </w:p>
    <w:p>
      <w:pPr>
        <w:spacing w:line="500" w:lineRule="exact"/>
        <w:jc w:val="center"/>
        <w:outlineLvl w:val="0"/>
        <w:rPr>
          <w:rFonts w:hint="default" w:ascii="Times New Roman" w:hAnsi="Times New Roman" w:eastAsia="黑体" w:cs="Times New Roman"/>
          <w:color w:val="auto"/>
          <w:sz w:val="40"/>
        </w:rPr>
      </w:pPr>
    </w:p>
    <w:p>
      <w:pPr>
        <w:spacing w:line="500" w:lineRule="exact"/>
        <w:jc w:val="center"/>
        <w:outlineLvl w:val="0"/>
        <w:rPr>
          <w:rFonts w:hint="default" w:ascii="Times New Roman" w:hAnsi="Times New Roman" w:eastAsia="黑体" w:cs="Times New Roman"/>
          <w:color w:val="auto"/>
          <w:sz w:val="40"/>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DgyMzE1ZTNkNDQwZjViNzg4OTI5NzcwZGY4YjkifQ=="/>
  </w:docVars>
  <w:rsids>
    <w:rsidRoot w:val="03F95212"/>
    <w:rsid w:val="03F95212"/>
    <w:rsid w:val="68D3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4">
    <w:name w:val="Body Text"/>
    <w:basedOn w:val="1"/>
    <w:next w:val="1"/>
    <w:unhideWhenUsed/>
    <w:qFormat/>
    <w:uiPriority w:val="99"/>
    <w:pPr>
      <w:spacing w:after="120"/>
    </w:pPr>
  </w:style>
  <w:style w:type="paragraph" w:styleId="5">
    <w:name w:val="Body Text First Indent"/>
    <w:basedOn w:val="4"/>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1183</Words>
  <Characters>1290</Characters>
  <Lines>0</Lines>
  <Paragraphs>0</Paragraphs>
  <TotalTime>0</TotalTime>
  <ScaleCrop>false</ScaleCrop>
  <LinksUpToDate>false</LinksUpToDate>
  <CharactersWithSpaces>1368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2022-09-23T01:46:00Z</dcterms:created>
  <dc:creator>yaoyao</dc:creator>
  <cp:lastModifiedBy>yaoyao</cp:lastModifiedBy>
  <dcterms:modified xsi:type="dcterms:W3CDTF">2022-09-23T08:27:12Z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229D5A2BC2534624A91D874BB824BC01</vt:lpwstr>
  </property>
</Properties>
</file>