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4" w:name="_GoBack"/>
      <w:bookmarkEnd w:id="4"/>
      <w:bookmarkStart w:id="0" w:name="_Toc23563"/>
      <w:bookmarkStart w:id="1" w:name="_Toc18748"/>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21"/>
        <w:tblW w:w="8219" w:type="dxa"/>
        <w:jc w:val="center"/>
        <w:shd w:val="clear" w:color="auto" w:fill="auto"/>
        <w:tblLayout w:type="autofit"/>
        <w:tblCellMar>
          <w:top w:w="0" w:type="dxa"/>
          <w:left w:w="0" w:type="dxa"/>
          <w:bottom w:w="0" w:type="dxa"/>
          <w:right w:w="0" w:type="dxa"/>
        </w:tblCellMar>
      </w:tblPr>
      <w:tblGrid>
        <w:gridCol w:w="754"/>
        <w:gridCol w:w="2957"/>
        <w:gridCol w:w="4508"/>
      </w:tblGrid>
      <w:tr>
        <w:tblPrEx>
          <w:tblCellMar>
            <w:top w:w="0" w:type="dxa"/>
            <w:left w:w="0" w:type="dxa"/>
            <w:bottom w:w="0" w:type="dxa"/>
            <w:right w:w="0" w:type="dxa"/>
          </w:tblCellMar>
        </w:tblPrEx>
        <w:trPr>
          <w:trHeight w:val="58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合同包</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主要单位工程</w:t>
            </w:r>
          </w:p>
        </w:tc>
        <w:tc>
          <w:tcPr>
            <w:tcW w:w="4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主要工程内容</w:t>
            </w:r>
          </w:p>
        </w:tc>
      </w:tr>
      <w:tr>
        <w:tblPrEx>
          <w:shd w:val="clear" w:color="auto" w:fill="auto"/>
          <w:tblCellMar>
            <w:top w:w="0" w:type="dxa"/>
            <w:left w:w="0" w:type="dxa"/>
            <w:bottom w:w="0" w:type="dxa"/>
            <w:right w:w="0" w:type="dxa"/>
          </w:tblCellMar>
        </w:tblPrEx>
        <w:trPr>
          <w:trHeight w:val="4341"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eastAsia" w:ascii="宋体" w:hAnsi="宋体" w:eastAsia="宋体" w:cs="宋体"/>
                <w:i w:val="0"/>
                <w:color w:val="000000"/>
                <w:sz w:val="22"/>
                <w:szCs w:val="22"/>
                <w:highlight w:val="none"/>
                <w:u w:val="none"/>
                <w:lang w:bidi="ar"/>
              </w:rPr>
            </w:pPr>
            <w:r>
              <w:rPr>
                <w:rFonts w:hint="eastAsia" w:ascii="宋体" w:hAnsi="宋体" w:eastAsia="宋体" w:cs="宋体"/>
                <w:i w:val="0"/>
                <w:color w:val="000000"/>
                <w:kern w:val="0"/>
                <w:sz w:val="22"/>
                <w:szCs w:val="22"/>
                <w:highlight w:val="none"/>
                <w:u w:val="none"/>
                <w:lang w:val="en-US" w:eastAsia="zh-CN" w:bidi="ar"/>
              </w:rPr>
              <w:t>第1合同包</w:t>
            </w:r>
          </w:p>
        </w:tc>
        <w:tc>
          <w:tcPr>
            <w:tcW w:w="2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overflowPunct/>
              <w:topLinePunct w:val="0"/>
              <w:bidi w:val="0"/>
              <w:spacing w:line="360" w:lineRule="auto"/>
              <w:ind w:leftChars="0"/>
              <w:jc w:val="left"/>
              <w:textAlignment w:val="center"/>
              <w:rPr>
                <w:rFonts w:hint="eastAsia" w:ascii="宋体" w:hAnsi="宋体" w:cs="宋体"/>
                <w:color w:val="000000"/>
                <w:sz w:val="22"/>
                <w:szCs w:val="22"/>
                <w:highlight w:val="none"/>
                <w:u w:val="none"/>
                <w:lang w:val="en-US" w:eastAsia="zh-CN" w:bidi="ar"/>
              </w:rPr>
            </w:pPr>
            <w:r>
              <w:rPr>
                <w:rFonts w:hint="eastAsia" w:ascii="宋体" w:hAnsi="宋体" w:eastAsia="宋体" w:cs="宋体"/>
                <w:color w:val="000000"/>
                <w:sz w:val="22"/>
                <w:szCs w:val="22"/>
                <w:highlight w:val="none"/>
                <w:u w:val="none"/>
                <w:lang w:bidi="ar"/>
              </w:rPr>
              <w:t>盘龙城收费站综合楼局部维修改造</w:t>
            </w:r>
            <w:r>
              <w:rPr>
                <w:rFonts w:hint="eastAsia" w:ascii="宋体" w:hAnsi="宋体" w:cs="宋体"/>
                <w:color w:val="000000"/>
                <w:sz w:val="22"/>
                <w:szCs w:val="22"/>
                <w:highlight w:val="none"/>
                <w:u w:val="none"/>
                <w:lang w:val="en-US" w:eastAsia="zh-CN" w:bidi="ar"/>
              </w:rPr>
              <w:t>；</w:t>
            </w:r>
          </w:p>
          <w:p>
            <w:pPr>
              <w:keepNext w:val="0"/>
              <w:keepLines w:val="0"/>
              <w:pageBreakBefore w:val="0"/>
              <w:widowControl/>
              <w:numPr>
                <w:ilvl w:val="-1"/>
                <w:numId w:val="0"/>
              </w:numPr>
              <w:suppressLineNumbers w:val="0"/>
              <w:kinsoku/>
              <w:overflowPunct/>
              <w:topLinePunct w:val="0"/>
              <w:bidi w:val="0"/>
              <w:spacing w:line="360" w:lineRule="auto"/>
              <w:ind w:leftChars="0"/>
              <w:jc w:val="left"/>
              <w:textAlignment w:val="center"/>
              <w:rPr>
                <w:rFonts w:hint="eastAsia" w:ascii="宋体" w:hAnsi="宋体" w:cs="宋体"/>
                <w:color w:val="000000"/>
                <w:sz w:val="22"/>
                <w:szCs w:val="22"/>
                <w:highlight w:val="none"/>
                <w:u w:val="none"/>
                <w:lang w:bidi="ar"/>
              </w:rPr>
            </w:pPr>
            <w:r>
              <w:rPr>
                <w:rFonts w:hint="eastAsia" w:ascii="宋体" w:hAnsi="宋体" w:cs="宋体"/>
                <w:color w:val="000000"/>
                <w:sz w:val="22"/>
                <w:szCs w:val="22"/>
                <w:highlight w:val="none"/>
                <w:u w:val="none"/>
                <w:lang w:val="en-US" w:eastAsia="zh-CN" w:bidi="ar"/>
              </w:rPr>
              <w:t>2、</w:t>
            </w:r>
            <w:r>
              <w:rPr>
                <w:rFonts w:hint="eastAsia" w:ascii="宋体" w:hAnsi="宋体" w:eastAsia="宋体" w:cs="宋体"/>
                <w:color w:val="000000"/>
                <w:sz w:val="22"/>
                <w:szCs w:val="22"/>
                <w:highlight w:val="none"/>
                <w:u w:val="none"/>
                <w:lang w:bidi="ar"/>
              </w:rPr>
              <w:t>柏泉收费站综合楼局部维修改造</w:t>
            </w:r>
            <w:r>
              <w:rPr>
                <w:rFonts w:hint="eastAsia" w:ascii="宋体" w:hAnsi="宋体" w:cs="宋体"/>
                <w:color w:val="000000"/>
                <w:sz w:val="22"/>
                <w:szCs w:val="22"/>
                <w:highlight w:val="none"/>
                <w:u w:val="none"/>
                <w:lang w:val="en-US" w:eastAsia="zh-CN" w:bidi="ar"/>
              </w:rPr>
              <w:t>；</w:t>
            </w:r>
          </w:p>
          <w:p>
            <w:pPr>
              <w:widowControl/>
              <w:spacing w:line="360" w:lineRule="auto"/>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color w:val="000000"/>
                <w:sz w:val="22"/>
                <w:szCs w:val="22"/>
                <w:highlight w:val="none"/>
                <w:u w:val="none"/>
                <w:lang w:val="en-US" w:eastAsia="zh-CN" w:bidi="ar"/>
              </w:rPr>
              <w:t>3、</w:t>
            </w:r>
            <w:r>
              <w:rPr>
                <w:rFonts w:hint="eastAsia" w:ascii="宋体" w:hAnsi="宋体" w:eastAsia="宋体" w:cs="宋体"/>
                <w:color w:val="000000"/>
                <w:sz w:val="22"/>
                <w:szCs w:val="22"/>
                <w:highlight w:val="none"/>
                <w:u w:val="none"/>
                <w:lang w:bidi="ar"/>
              </w:rPr>
              <w:t>黄陂驻地收费站局部维修改造</w:t>
            </w:r>
            <w:r>
              <w:rPr>
                <w:rFonts w:hint="eastAsia" w:ascii="宋体" w:hAnsi="宋体" w:cs="宋体"/>
                <w:color w:val="000000"/>
                <w:sz w:val="22"/>
                <w:szCs w:val="22"/>
                <w:highlight w:val="none"/>
                <w:u w:val="none"/>
                <w:lang w:eastAsia="zh-CN" w:bidi="ar"/>
              </w:rPr>
              <w:t>；</w:t>
            </w:r>
          </w:p>
          <w:p>
            <w:pPr>
              <w:widowControl/>
              <w:spacing w:line="360" w:lineRule="auto"/>
              <w:textAlignment w:val="center"/>
              <w:rPr>
                <w:rFonts w:hint="eastAsia" w:ascii="宋体" w:hAnsi="宋体" w:eastAsia="宋体" w:cs="宋体"/>
                <w:color w:val="000000"/>
                <w:sz w:val="22"/>
                <w:szCs w:val="22"/>
                <w:highlight w:val="none"/>
                <w:u w:val="none"/>
                <w:lang w:val="en-US" w:eastAsia="zh-CN" w:bidi="ar"/>
              </w:rPr>
            </w:pPr>
            <w:r>
              <w:rPr>
                <w:rFonts w:hint="eastAsia" w:ascii="宋体" w:hAnsi="宋体" w:cs="宋体"/>
                <w:color w:val="000000"/>
                <w:sz w:val="22"/>
                <w:szCs w:val="22"/>
                <w:highlight w:val="none"/>
                <w:u w:val="none"/>
                <w:lang w:val="en-US" w:eastAsia="zh-CN" w:bidi="ar"/>
              </w:rPr>
              <w:t>4、</w:t>
            </w:r>
            <w:r>
              <w:rPr>
                <w:rFonts w:hint="eastAsia" w:ascii="宋体" w:hAnsi="宋体" w:eastAsia="宋体" w:cs="宋体"/>
                <w:color w:val="000000"/>
                <w:sz w:val="22"/>
                <w:szCs w:val="22"/>
                <w:highlight w:val="none"/>
                <w:u w:val="none"/>
                <w:lang w:bidi="ar"/>
              </w:rPr>
              <w:t>甘棠收费站综合楼局部维修改造</w:t>
            </w:r>
            <w:r>
              <w:rPr>
                <w:rFonts w:hint="eastAsia" w:ascii="宋体" w:hAnsi="宋体" w:eastAsia="宋体" w:cs="宋体"/>
                <w:i w:val="0"/>
                <w:color w:val="000000"/>
                <w:kern w:val="0"/>
                <w:sz w:val="22"/>
                <w:szCs w:val="22"/>
                <w:highlight w:val="none"/>
                <w:u w:val="none"/>
                <w:lang w:val="en-US" w:eastAsia="zh-CN" w:bidi="ar"/>
              </w:rPr>
              <w:t>；</w:t>
            </w:r>
          </w:p>
          <w:p>
            <w:pPr>
              <w:widowControl/>
              <w:spacing w:line="360" w:lineRule="auto"/>
              <w:textAlignment w:val="center"/>
              <w:rPr>
                <w:rFonts w:hint="eastAsia" w:ascii="宋体" w:hAnsi="宋体" w:eastAsia="宋体" w:cs="宋体"/>
                <w:color w:val="000000"/>
                <w:sz w:val="22"/>
                <w:szCs w:val="22"/>
                <w:highlight w:val="none"/>
                <w:u w:val="none"/>
                <w:lang w:val="en-US" w:eastAsia="zh-CN" w:bidi="ar"/>
              </w:rPr>
            </w:pPr>
            <w:r>
              <w:rPr>
                <w:rFonts w:hint="eastAsia" w:ascii="宋体" w:hAnsi="宋体" w:cs="宋体"/>
                <w:color w:val="000000"/>
                <w:sz w:val="22"/>
                <w:szCs w:val="22"/>
                <w:highlight w:val="none"/>
                <w:u w:val="none"/>
                <w:lang w:val="en-US" w:eastAsia="zh-CN" w:bidi="ar"/>
              </w:rPr>
              <w:t>5、</w:t>
            </w:r>
            <w:r>
              <w:rPr>
                <w:rFonts w:hint="eastAsia" w:ascii="宋体" w:hAnsi="宋体" w:eastAsia="宋体" w:cs="宋体"/>
                <w:color w:val="000000"/>
                <w:sz w:val="22"/>
                <w:szCs w:val="22"/>
                <w:highlight w:val="none"/>
                <w:u w:val="none"/>
                <w:lang w:val="en-US" w:eastAsia="zh-CN" w:bidi="ar"/>
              </w:rPr>
              <w:t>施岗</w:t>
            </w:r>
            <w:r>
              <w:rPr>
                <w:rFonts w:hint="eastAsia" w:ascii="宋体" w:hAnsi="宋体" w:eastAsia="宋体" w:cs="宋体"/>
                <w:color w:val="000000"/>
                <w:sz w:val="22"/>
                <w:szCs w:val="22"/>
                <w:highlight w:val="none"/>
                <w:u w:val="none"/>
                <w:lang w:bidi="ar"/>
              </w:rPr>
              <w:t>收费站综合楼局部维修改造</w:t>
            </w:r>
            <w:r>
              <w:rPr>
                <w:rFonts w:hint="eastAsia" w:ascii="宋体" w:hAnsi="宋体" w:eastAsia="宋体" w:cs="宋体"/>
                <w:color w:val="000000"/>
                <w:sz w:val="22"/>
                <w:szCs w:val="22"/>
                <w:highlight w:val="none"/>
                <w:u w:val="none"/>
                <w:lang w:eastAsia="zh-CN" w:bidi="ar"/>
              </w:rPr>
              <w:t>；</w:t>
            </w:r>
          </w:p>
          <w:p>
            <w:pPr>
              <w:widowControl/>
              <w:spacing w:line="360" w:lineRule="auto"/>
              <w:textAlignment w:val="center"/>
              <w:rPr>
                <w:rFonts w:hint="eastAsia" w:ascii="宋体" w:hAnsi="宋体" w:eastAsia="宋体" w:cs="宋体"/>
                <w:color w:val="000000"/>
                <w:sz w:val="22"/>
                <w:szCs w:val="22"/>
                <w:highlight w:val="none"/>
                <w:u w:val="none"/>
                <w:lang w:val="en-US" w:eastAsia="zh-CN" w:bidi="ar"/>
              </w:rPr>
            </w:pPr>
            <w:r>
              <w:rPr>
                <w:rFonts w:hint="eastAsia" w:ascii="宋体" w:hAnsi="宋体" w:cs="宋体"/>
                <w:color w:val="000000"/>
                <w:sz w:val="22"/>
                <w:szCs w:val="22"/>
                <w:highlight w:val="none"/>
                <w:u w:val="none"/>
                <w:lang w:val="en-US" w:eastAsia="zh-CN" w:bidi="ar"/>
              </w:rPr>
              <w:t>6、</w:t>
            </w:r>
            <w:r>
              <w:rPr>
                <w:rFonts w:hint="eastAsia" w:ascii="宋体" w:hAnsi="宋体" w:eastAsia="宋体" w:cs="宋体"/>
                <w:color w:val="000000"/>
                <w:sz w:val="22"/>
                <w:szCs w:val="22"/>
                <w:highlight w:val="none"/>
                <w:u w:val="none"/>
                <w:lang w:bidi="ar"/>
              </w:rPr>
              <w:t>阳逻收费站综合楼局部维修改造</w:t>
            </w:r>
            <w:r>
              <w:rPr>
                <w:rFonts w:hint="eastAsia" w:ascii="宋体" w:hAnsi="宋体" w:cs="宋体"/>
                <w:color w:val="000000"/>
                <w:sz w:val="22"/>
                <w:szCs w:val="22"/>
                <w:highlight w:val="none"/>
                <w:u w:val="none"/>
                <w:lang w:eastAsia="zh-CN" w:bidi="ar"/>
              </w:rPr>
              <w:t>；</w:t>
            </w:r>
          </w:p>
          <w:p>
            <w:pPr>
              <w:widowControl/>
              <w:spacing w:line="360" w:lineRule="auto"/>
              <w:textAlignment w:val="center"/>
              <w:rPr>
                <w:rFonts w:hint="eastAsia" w:ascii="宋体" w:hAnsi="宋体" w:eastAsia="宋体" w:cs="宋体"/>
                <w:color w:val="000000"/>
                <w:sz w:val="22"/>
                <w:szCs w:val="22"/>
                <w:highlight w:val="none"/>
                <w:u w:val="none"/>
                <w:lang w:val="en-US" w:eastAsia="zh-CN" w:bidi="ar"/>
              </w:rPr>
            </w:pPr>
            <w:r>
              <w:rPr>
                <w:rFonts w:hint="eastAsia" w:ascii="宋体" w:hAnsi="宋体" w:cs="宋体"/>
                <w:color w:val="000000"/>
                <w:sz w:val="22"/>
                <w:szCs w:val="22"/>
                <w:highlight w:val="none"/>
                <w:u w:val="none"/>
                <w:lang w:val="en-US" w:eastAsia="zh-CN" w:bidi="ar"/>
              </w:rPr>
              <w:t>7、</w:t>
            </w:r>
            <w:r>
              <w:rPr>
                <w:rFonts w:hint="eastAsia" w:ascii="宋体" w:hAnsi="宋体" w:eastAsia="宋体" w:cs="宋体"/>
                <w:color w:val="000000"/>
                <w:sz w:val="22"/>
                <w:szCs w:val="22"/>
                <w:highlight w:val="none"/>
                <w:u w:val="none"/>
                <w:lang w:bidi="ar"/>
              </w:rPr>
              <w:t>桥管所局部维修改造</w:t>
            </w:r>
            <w:r>
              <w:rPr>
                <w:rFonts w:hint="eastAsia" w:ascii="宋体" w:hAnsi="宋体" w:cs="宋体"/>
                <w:color w:val="000000"/>
                <w:sz w:val="22"/>
                <w:szCs w:val="22"/>
                <w:highlight w:val="none"/>
                <w:u w:val="none"/>
                <w:lang w:eastAsia="zh-CN" w:bidi="ar"/>
              </w:rPr>
              <w:t>；</w:t>
            </w:r>
          </w:p>
          <w:p>
            <w:pPr>
              <w:widowControl/>
              <w:spacing w:line="360" w:lineRule="auto"/>
              <w:textAlignment w:val="center"/>
              <w:rPr>
                <w:rFonts w:hint="eastAsia" w:ascii="宋体" w:hAnsi="宋体" w:cs="宋体"/>
                <w:color w:val="000000"/>
                <w:sz w:val="22"/>
                <w:szCs w:val="22"/>
                <w:highlight w:val="none"/>
                <w:u w:val="none"/>
                <w:lang w:bidi="ar"/>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yellow"/>
                <w:u w:val="none"/>
                <w:lang w:val="en-US"/>
              </w:rPr>
            </w:pPr>
            <w:r>
              <w:rPr>
                <w:rFonts w:hint="eastAsia" w:ascii="宋体" w:hAnsi="宋体" w:eastAsia="宋体" w:cs="宋体"/>
                <w:i w:val="0"/>
                <w:color w:val="000000"/>
                <w:kern w:val="0"/>
                <w:sz w:val="22"/>
                <w:szCs w:val="22"/>
                <w:highlight w:val="none"/>
                <w:u w:val="none"/>
                <w:lang w:val="en-US" w:eastAsia="zh-CN" w:bidi="ar"/>
              </w:rPr>
              <w:t>原有建筑拆除、</w:t>
            </w:r>
            <w:r>
              <w:rPr>
                <w:rFonts w:hint="eastAsia" w:ascii="宋体" w:hAnsi="宋体" w:cs="宋体"/>
                <w:i w:val="0"/>
                <w:color w:val="000000"/>
                <w:kern w:val="0"/>
                <w:sz w:val="22"/>
                <w:szCs w:val="22"/>
                <w:highlight w:val="none"/>
                <w:u w:val="none"/>
                <w:lang w:val="en-US" w:eastAsia="zh-CN" w:bidi="ar"/>
              </w:rPr>
              <w:t>墙体</w:t>
            </w:r>
            <w:r>
              <w:rPr>
                <w:rFonts w:hint="eastAsia" w:ascii="宋体" w:hAnsi="宋体" w:eastAsia="宋体" w:cs="宋体"/>
                <w:i w:val="0"/>
                <w:color w:val="000000"/>
                <w:kern w:val="0"/>
                <w:sz w:val="22"/>
                <w:szCs w:val="22"/>
                <w:highlight w:val="none"/>
                <w:u w:val="none"/>
                <w:lang w:val="en-US" w:eastAsia="zh-CN" w:bidi="ar"/>
              </w:rPr>
              <w:t>工程、门窗工程、</w:t>
            </w:r>
            <w:r>
              <w:rPr>
                <w:rFonts w:hint="eastAsia" w:ascii="宋体" w:hAnsi="宋体" w:cs="宋体"/>
                <w:i w:val="0"/>
                <w:color w:val="000000"/>
                <w:kern w:val="0"/>
                <w:sz w:val="22"/>
                <w:szCs w:val="22"/>
                <w:highlight w:val="none"/>
                <w:u w:val="none"/>
                <w:lang w:val="en-US" w:eastAsia="zh-CN" w:bidi="ar"/>
              </w:rPr>
              <w:t>内装修工程、油漆涂料工程、消防工程、建筑设备、设施工程、幕墙工程等</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headerReference r:id="rId5" w:type="default"/>
          <w:footerReference r:id="rId6" w:type="default"/>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20274"/>
      <w:bookmarkStart w:id="3" w:name="_Toc15905"/>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第1合同包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独立的法人资格，具备有效的营业执照；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default" w:ascii="宋体" w:hAnsi="宋体" w:eastAsia="宋体" w:cs="宋?"/>
                <w:color w:val="auto"/>
                <w:szCs w:val="24"/>
                <w:highlight w:val="none"/>
              </w:rPr>
              <w:t>建筑装修装饰工程专业承包</w:t>
            </w:r>
            <w:r>
              <w:rPr>
                <w:rFonts w:hint="eastAsia" w:ascii="宋体" w:hAnsi="宋体" w:cs="宋?"/>
                <w:color w:val="auto"/>
                <w:szCs w:val="24"/>
                <w:highlight w:val="none"/>
                <w:lang w:val="en-US" w:eastAsia="zh-CN"/>
              </w:rPr>
              <w:t>贰</w:t>
            </w:r>
            <w:r>
              <w:rPr>
                <w:rFonts w:hint="default" w:ascii="宋体" w:hAnsi="宋体" w:eastAsia="宋体" w:cs="宋?"/>
                <w:color w:val="auto"/>
                <w:szCs w:val="24"/>
                <w:highlight w:val="none"/>
              </w:rPr>
              <w:t>级</w:t>
            </w:r>
            <w:r>
              <w:rPr>
                <w:rFonts w:hint="eastAsia" w:ascii="宋体" w:hAnsi="宋体" w:eastAsia="宋体" w:cs="宋?"/>
                <w:color w:val="auto"/>
                <w:szCs w:val="24"/>
                <w:highlight w:val="none"/>
              </w:rPr>
              <w:t>及以上</w:t>
            </w:r>
            <w:r>
              <w:rPr>
                <w:rFonts w:hint="default" w:ascii="Times New Roman" w:hAnsi="Times New Roman" w:cs="Times New Roman"/>
                <w:color w:val="auto"/>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w:t>
            </w:r>
            <w:r>
              <w:rPr>
                <w:rFonts w:hint="default" w:ascii="Times New Roman" w:hAnsi="Times New Roman" w:cs="Times New Roman"/>
                <w:i w:val="0"/>
                <w:color w:val="auto"/>
                <w:kern w:val="0"/>
                <w:sz w:val="24"/>
                <w:szCs w:val="22"/>
                <w:highlight w:val="none"/>
                <w:u w:val="none"/>
                <w:lang w:val="en-US" w:eastAsia="zh-CN" w:bidi="ar"/>
              </w:rPr>
              <w:t>1</w:t>
            </w: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color w:val="auto"/>
                <w:highlight w:val="none"/>
                <w:lang w:val="en-US" w:eastAsia="zh-CN"/>
              </w:rPr>
              <w:t>2</w:t>
            </w:r>
            <w:r>
              <w:rPr>
                <w:rFonts w:hint="eastAsia" w:cs="Times New Roman"/>
                <w:i w:val="0"/>
                <w:color w:val="auto"/>
                <w:kern w:val="0"/>
                <w:sz w:val="24"/>
                <w:szCs w:val="22"/>
                <w:highlight w:val="none"/>
                <w:u w:val="none"/>
                <w:lang w:val="en-US" w:eastAsia="zh-CN" w:bidi="ar"/>
              </w:rPr>
              <w:t>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color w:val="auto"/>
                <w:highlight w:val="none"/>
                <w:lang w:val="en-US" w:eastAsia="zh-CN"/>
              </w:rPr>
              <w:t>40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none"/>
                <w:lang w:val="en-US" w:eastAsia="zh-CN" w:bidi="ar"/>
              </w:rPr>
              <w:t>4</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color w:val="auto"/>
                <w:highlight w:val="none"/>
                <w:lang w:val="en-US" w:eastAsia="zh-CN"/>
              </w:rPr>
              <w:t>6</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 xml:space="preserve">   2.采用第二种方式应附银行出具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附录3  资格审查条件(业绩最低要求)</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default" w:ascii="Times New Roman" w:hAnsi="Times New Roman" w:cs="Times New Roman"/>
                <w:color w:val="auto"/>
                <w:highlight w:val="none"/>
              </w:rPr>
              <w:t>第1合同包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eastAsia" w:ascii="宋体" w:hAnsi="宋体" w:eastAsia="宋体"/>
              </w:rPr>
              <w:t>申请人近5年承接过一个类似房屋建</w:t>
            </w:r>
            <w:r>
              <w:rPr>
                <w:rFonts w:hint="eastAsia" w:ascii="宋体" w:hAnsi="宋体" w:eastAsia="宋体"/>
                <w:lang w:val="en-US" w:eastAsia="zh-CN"/>
              </w:rPr>
              <w:t>筑</w:t>
            </w:r>
            <w:r>
              <w:rPr>
                <w:rFonts w:hint="eastAsia" w:ascii="宋体" w:hAnsi="宋体" w:eastAsia="宋体"/>
              </w:rPr>
              <w:t>工程或房屋改造工程</w:t>
            </w:r>
            <w:r>
              <w:rPr>
                <w:rFonts w:hint="eastAsia" w:ascii="宋体" w:hAnsi="宋体"/>
                <w:lang w:val="en-US" w:eastAsia="zh-CN"/>
              </w:rPr>
              <w:t>或房屋装饰装修工程</w:t>
            </w:r>
            <w:r>
              <w:rPr>
                <w:rFonts w:hint="eastAsia" w:ascii="宋体" w:hAnsi="宋体" w:eastAsia="宋体"/>
              </w:rPr>
              <w:t>项目施工业绩。</w:t>
            </w:r>
          </w:p>
        </w:tc>
      </w:tr>
    </w:tbl>
    <w:p>
      <w:pPr>
        <w:pStyle w:val="25"/>
        <w:pageBreakBefore w:val="0"/>
        <w:kinsoku/>
        <w:overflowPunct/>
        <w:topLinePunct w:val="0"/>
        <w:bidi w:val="0"/>
        <w:spacing w:line="360" w:lineRule="auto"/>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注：申请人应在此表中填写近</w:t>
      </w:r>
      <w:r>
        <w:rPr>
          <w:rFonts w:hint="default" w:ascii="Times New Roman" w:hAnsi="Times New Roman" w:eastAsia="黑体" w:cs="Times New Roman"/>
          <w:color w:val="auto"/>
          <w:kern w:val="0"/>
          <w:highlight w:val="none"/>
          <w:lang w:val="en-US" w:eastAsia="zh-CN"/>
        </w:rPr>
        <w:t>5</w:t>
      </w:r>
      <w:r>
        <w:rPr>
          <w:rFonts w:hint="default" w:ascii="Times New Roman" w:hAnsi="Times New Roman" w:eastAsia="黑体" w:cs="Times New Roman"/>
          <w:color w:val="auto"/>
          <w:kern w:val="0"/>
          <w:highlight w:val="none"/>
        </w:rPr>
        <w:t>年(以签订合同时间为准)来承担的类似项目施工，</w:t>
      </w:r>
      <w:r>
        <w:rPr>
          <w:rFonts w:hint="default" w:ascii="Times New Roman" w:hAnsi="Times New Roman" w:eastAsia="黑体" w:cs="Times New Roman"/>
          <w:color w:val="auto"/>
          <w:kern w:val="0"/>
          <w:highlight w:val="none"/>
          <w:lang w:val="en-US" w:eastAsia="zh-CN"/>
        </w:rPr>
        <w:t>申请人为新成立的公司，无法提供业绩附件支撑材料时，可提供其法人代表名下其它公司或其法人代表作为授权委托人的类似施工业绩，</w:t>
      </w:r>
      <w:r>
        <w:rPr>
          <w:rFonts w:hint="default" w:ascii="Times New Roman" w:hAnsi="Times New Roman" w:eastAsia="黑体" w:cs="Times New Roman"/>
          <w:color w:val="auto"/>
          <w:kern w:val="0"/>
          <w:highlight w:val="none"/>
        </w:rPr>
        <w:t>并提供合同协议书。如无合同协议书，</w:t>
      </w:r>
      <w:r>
        <w:rPr>
          <w:rFonts w:hint="eastAsia" w:eastAsia="黑体" w:cs="Times New Roman"/>
          <w:color w:val="auto"/>
          <w:kern w:val="0"/>
          <w:highlight w:val="none"/>
          <w:lang w:val="en-US" w:eastAsia="zh-CN"/>
        </w:rPr>
        <w:t>询价</w:t>
      </w:r>
      <w:r>
        <w:rPr>
          <w:rFonts w:hint="default" w:ascii="Times New Roman" w:hAnsi="Times New Roman" w:eastAsia="黑体" w:cs="Times New Roman"/>
          <w:color w:val="auto"/>
          <w:kern w:val="0"/>
          <w:highlight w:val="none"/>
        </w:rPr>
        <w:t>人在对申请人进行业绩审查时将不考虑该项目；申请人承担的分包工程业绩予以认可，但必须满足业绩要求中的专业内容。</w:t>
      </w:r>
    </w:p>
    <w:p>
      <w:pPr>
        <w:pStyle w:val="25"/>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资格审查条件(信誉最低要求)</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第1合同包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w:t>
            </w:r>
            <w:r>
              <w:rPr>
                <w:rFonts w:hint="eastAsia" w:ascii="Times New Roman" w:hAnsi="Times New Roman" w:cs="Times New Roman"/>
                <w:color w:val="auto"/>
                <w:highlight w:val="none"/>
                <w:lang w:val="en-US" w:eastAsia="zh-CN"/>
              </w:rPr>
              <w:t>住房和城乡建设部或湖北省住房和城乡建设主管部门</w:t>
            </w:r>
            <w:r>
              <w:rPr>
                <w:rFonts w:hint="default" w:ascii="Times New Roman" w:hAnsi="Times New Roman" w:cs="Times New Roman"/>
                <w:color w:val="auto"/>
                <w:highlight w:val="none"/>
              </w:rPr>
              <w:t>作出禁止进入</w:t>
            </w:r>
            <w:r>
              <w:rPr>
                <w:rFonts w:hint="eastAsia" w:ascii="Times New Roman" w:hAnsi="Times New Roman" w:cs="Times New Roman"/>
                <w:color w:val="auto"/>
                <w:highlight w:val="none"/>
                <w:lang w:val="en-US" w:eastAsia="zh-CN"/>
              </w:rPr>
              <w:t>建筑市场</w:t>
            </w:r>
            <w:r>
              <w:rPr>
                <w:rFonts w:hint="default" w:ascii="Times New Roman" w:hAnsi="Times New Roman" w:cs="Times New Roman"/>
                <w:color w:val="auto"/>
                <w:highlight w:val="none"/>
              </w:rPr>
              <w:t>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eastAsia="黑体" w:cs="Times New Roman"/>
          <w:color w:val="auto"/>
          <w:sz w:val="21"/>
          <w:szCs w:val="21"/>
          <w:highlight w:val="none"/>
          <w:lang w:val="en-US"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sz w:val="30"/>
          <w:highlight w:val="none"/>
        </w:rPr>
      </w:pPr>
      <w:r>
        <w:rPr>
          <w:rFonts w:hint="default" w:ascii="Times New Roman" w:hAnsi="Times New Roman" w:eastAsia="黑体" w:cs="Times New Roman"/>
          <w:color w:val="auto"/>
          <w:highlight w:val="none"/>
        </w:rPr>
        <w:t>附录5  资格审查条件(主要人员最低要求)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1"/>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3413" w:type="dxa"/>
            <w:vMerge w:val="restart"/>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p>
        </w:tc>
        <w:tc>
          <w:tcPr>
            <w:tcW w:w="243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第1合同包</w:t>
            </w:r>
          </w:p>
        </w:tc>
        <w:tc>
          <w:tcPr>
            <w:tcW w:w="3413" w:type="dxa"/>
            <w:vMerge w:val="continue"/>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p>
        </w:tc>
        <w:tc>
          <w:tcPr>
            <w:tcW w:w="1430" w:type="dxa"/>
            <w:vMerge w:val="continue"/>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eastAsia" w:ascii="Times New Roman" w:hAnsi="Times New Roman" w:eastAsia="宋体" w:cs="Times New Roman"/>
                <w:szCs w:val="22"/>
                <w:highlight w:val="none"/>
                <w:u w:val="none"/>
              </w:rPr>
              <w:t>近5年内曾担任过一个类似项目负责人</w:t>
            </w:r>
          </w:p>
        </w:tc>
        <w:tc>
          <w:tcPr>
            <w:tcW w:w="1430" w:type="dxa"/>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中级职称</w:t>
            </w:r>
            <w:r>
              <w:rPr>
                <w:rFonts w:hint="eastAsia" w:cs="Times New Roman"/>
                <w:color w:val="auto"/>
                <w:highlight w:val="none"/>
                <w:lang w:val="en-US" w:eastAsia="zh-CN"/>
              </w:rPr>
              <w:t>及以上</w:t>
            </w:r>
          </w:p>
        </w:tc>
        <w:tc>
          <w:tcPr>
            <w:tcW w:w="1430" w:type="dxa"/>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现场安全管理人员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sz w:val="24"/>
                <w:highlight w:val="none"/>
                <w:lang w:val="en-US" w:eastAsia="zh-CN" w:bidi="ar-SA"/>
              </w:rPr>
            </w:pPr>
            <w:r>
              <w:rPr>
                <w:rFonts w:hint="eastAsia"/>
                <w:lang w:val="en-US" w:eastAsia="zh-CN"/>
              </w:rPr>
              <w:t>建安C证及以上</w:t>
            </w:r>
          </w:p>
        </w:tc>
        <w:tc>
          <w:tcPr>
            <w:tcW w:w="1430" w:type="dxa"/>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lang w:val="en-US" w:eastAsia="zh-CN" w:bidi="ar-SA"/>
              </w:rPr>
            </w:pPr>
          </w:p>
        </w:tc>
      </w:tr>
    </w:tbl>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color w:val="auto"/>
          <w:sz w:val="21"/>
          <w:szCs w:val="21"/>
          <w:highlight w:val="none"/>
          <w:lang w:val="en-US" w:eastAsia="zh-CN"/>
        </w:rPr>
        <w:t>现场管理人员应提供身份证及安全证</w:t>
      </w:r>
    </w:p>
    <w:p>
      <w:pPr>
        <w:pStyle w:val="7"/>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附录</w:t>
      </w:r>
      <w:r>
        <w:rPr>
          <w:rFonts w:hint="default" w:ascii="Times New Roman" w:hAnsi="Times New Roman" w:eastAsia="黑体" w:cs="Times New Roman"/>
          <w:color w:val="000000" w:themeColor="text1"/>
          <w:highlight w:val="none"/>
          <w:lang w:val="en-US" w:eastAsia="zh-CN"/>
          <w14:textFill>
            <w14:solidFill>
              <w14:schemeClr w14:val="tx1"/>
            </w14:solidFill>
          </w14:textFill>
        </w:rPr>
        <w:t>6</w:t>
      </w:r>
      <w:r>
        <w:rPr>
          <w:rFonts w:hint="default" w:ascii="Times New Roman" w:hAnsi="Times New Roman" w:eastAsia="黑体" w:cs="Times New Roman"/>
          <w:color w:val="000000" w:themeColor="text1"/>
          <w:highlight w:val="none"/>
          <w14:textFill>
            <w14:solidFill>
              <w14:schemeClr w14:val="tx1"/>
            </w14:solidFill>
          </w14:textFill>
        </w:rPr>
        <w:t xml:space="preserve">  资格审查条件(</w:t>
      </w:r>
      <w:r>
        <w:rPr>
          <w:rFonts w:hint="default" w:ascii="Times New Roman" w:hAnsi="Times New Roman" w:eastAsia="黑体" w:cs="Times New Roman"/>
          <w:color w:val="000000" w:themeColor="text1"/>
          <w:highlight w:val="none"/>
          <w:lang w:val="en-US" w:eastAsia="zh-CN"/>
          <w14:textFill>
            <w14:solidFill>
              <w14:schemeClr w14:val="tx1"/>
            </w14:solidFill>
          </w14:textFill>
        </w:rPr>
        <w:t>主要机械设备</w:t>
      </w:r>
      <w:r>
        <w:rPr>
          <w:rFonts w:hint="eastAsia" w:eastAsia="黑体" w:cs="Times New Roman"/>
          <w:color w:val="000000" w:themeColor="text1"/>
          <w:highlight w:val="none"/>
          <w:lang w:val="en-US" w:eastAsia="zh-CN"/>
          <w14:textFill>
            <w14:solidFill>
              <w14:schemeClr w14:val="tx1"/>
            </w14:solidFill>
          </w14:textFill>
        </w:rPr>
        <w:t>及试验检测设备</w:t>
      </w:r>
      <w:r>
        <w:rPr>
          <w:rFonts w:hint="default" w:ascii="Times New Roman" w:hAnsi="Times New Roman" w:eastAsia="黑体" w:cs="Times New Roman"/>
          <w:color w:val="000000" w:themeColor="text1"/>
          <w:highlight w:val="none"/>
          <w14:textFill>
            <w14:solidFill>
              <w14:schemeClr w14:val="tx1"/>
            </w14:solidFill>
          </w14:textFill>
        </w:rPr>
        <w:t>最低要求)</w:t>
      </w:r>
    </w:p>
    <w:tbl>
      <w:tblPr>
        <w:tblStyle w:val="21"/>
        <w:tblW w:w="4238" w:type="pct"/>
        <w:jc w:val="center"/>
        <w:tblLayout w:type="fixed"/>
        <w:tblCellMar>
          <w:top w:w="0" w:type="dxa"/>
          <w:left w:w="0" w:type="dxa"/>
          <w:bottom w:w="0" w:type="dxa"/>
          <w:right w:w="0" w:type="dxa"/>
        </w:tblCellMar>
      </w:tblPr>
      <w:tblGrid>
        <w:gridCol w:w="562"/>
        <w:gridCol w:w="1894"/>
        <w:gridCol w:w="1708"/>
        <w:gridCol w:w="668"/>
        <w:gridCol w:w="1596"/>
        <w:gridCol w:w="1090"/>
      </w:tblGrid>
      <w:tr>
        <w:tblPrEx>
          <w:tblCellMar>
            <w:top w:w="0" w:type="dxa"/>
            <w:left w:w="0" w:type="dxa"/>
            <w:bottom w:w="0" w:type="dxa"/>
            <w:right w:w="0" w:type="dxa"/>
          </w:tblCellMar>
        </w:tblPrEx>
        <w:trPr>
          <w:trHeight w:val="492" w:hRule="atLeast"/>
          <w:jc w:val="center"/>
        </w:trPr>
        <w:tc>
          <w:tcPr>
            <w:tcW w:w="373"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259"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eastAsia" w:cs="Times New Roman"/>
                <w:b/>
                <w:color w:val="000000" w:themeColor="text1"/>
                <w:sz w:val="24"/>
                <w:szCs w:val="24"/>
                <w:highlight w:val="none"/>
                <w:lang w:val="en-US" w:eastAsia="zh-CN" w:bidi="ar"/>
                <w14:textFill>
                  <w14:solidFill>
                    <w14:schemeClr w14:val="tx1"/>
                  </w14:solidFill>
                </w14:textFill>
              </w:rPr>
              <w:t>机械、</w:t>
            </w: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1135"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eastAsia" w:ascii="Times New Roman" w:hAnsi="Times New Roman" w:eastAsia="宋体" w:cs="Times New Roman"/>
                <w:b/>
                <w:color w:val="000000" w:themeColor="text1"/>
                <w:sz w:val="24"/>
                <w:szCs w:val="24"/>
                <w:highlight w:val="none"/>
                <w:lang w:val="en-US" w:eastAsia="zh-CN" w:bidi="ar"/>
                <w14:textFill>
                  <w14:solidFill>
                    <w14:schemeClr w14:val="tx1"/>
                  </w14:solidFill>
                </w14:textFill>
              </w:rPr>
              <w:t>型号/功率或其它指标</w:t>
            </w:r>
          </w:p>
        </w:tc>
        <w:tc>
          <w:tcPr>
            <w:tcW w:w="444"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06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最低数量要求</w:t>
            </w:r>
          </w:p>
        </w:tc>
        <w:tc>
          <w:tcPr>
            <w:tcW w:w="72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670" w:hRule="atLeast"/>
          <w:jc w:val="center"/>
        </w:trPr>
        <w:tc>
          <w:tcPr>
            <w:tcW w:w="373" w:type="pct"/>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259"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135"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444"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06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第1合同包</w:t>
            </w:r>
          </w:p>
        </w:tc>
        <w:tc>
          <w:tcPr>
            <w:tcW w:w="724" w:type="pct"/>
            <w:tcBorders>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1</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电焊机</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2</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充气钻</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3</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可移动脚手架</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2</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4</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水准仪</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2</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5</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发电机</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6</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翻斗车</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7</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切割机</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2</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8</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平整度尺</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把</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9</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竖直度尺</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把</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10</w:t>
            </w:r>
          </w:p>
        </w:tc>
        <w:tc>
          <w:tcPr>
            <w:tcW w:w="12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val="en-US"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钢卷尺</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满足施工要求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把</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3</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ind w:firstLine="422" w:firstLineChars="20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w:t>
      </w:r>
      <w:r>
        <w:rPr>
          <w:rFonts w:hint="eastAsia" w:ascii="黑体" w:hAnsi="黑体" w:eastAsia="黑体" w:cs="黑体"/>
          <w:b/>
          <w:color w:val="000000"/>
          <w:sz w:val="21"/>
          <w:szCs w:val="21"/>
        </w:rPr>
        <w:t>表中为项目设备最低要求</w:t>
      </w:r>
      <w:r>
        <w:rPr>
          <w:rFonts w:hint="eastAsia" w:ascii="黑体" w:hAnsi="黑体" w:eastAsia="黑体" w:cs="黑体"/>
          <w:color w:val="auto"/>
          <w:sz w:val="21"/>
          <w:szCs w:val="21"/>
          <w:highlight w:val="none"/>
        </w:rPr>
        <w:t>，</w:t>
      </w:r>
      <w:r>
        <w:rPr>
          <w:rFonts w:hint="eastAsia" w:ascii="黑体" w:hAnsi="黑体" w:eastAsia="黑体" w:cs="黑体"/>
          <w:b/>
          <w:color w:val="000000"/>
          <w:sz w:val="21"/>
          <w:szCs w:val="21"/>
        </w:rPr>
        <w:t>可为申请人自有或租赁，自有须提供设备购置发票或购置合同扫描件或其它可以证明其为自有及协议自有的证明材料，公司名义或者股东名义下的设备均可视为该公司的自有设备，但是需要提供股东证明资料</w:t>
      </w:r>
      <w:r>
        <w:rPr>
          <w:rFonts w:hint="eastAsia" w:ascii="黑体" w:hAnsi="黑体" w:eastAsia="黑体" w:cs="黑体"/>
          <w:b/>
          <w:color w:val="000000"/>
          <w:sz w:val="21"/>
          <w:szCs w:val="21"/>
          <w:lang w:eastAsia="zh-CN"/>
        </w:rPr>
        <w:t>；</w:t>
      </w:r>
      <w:r>
        <w:rPr>
          <w:rFonts w:hint="eastAsia" w:ascii="黑体" w:hAnsi="黑体" w:eastAsia="黑体" w:cs="黑体"/>
          <w:b/>
          <w:color w:val="000000"/>
          <w:sz w:val="21"/>
          <w:szCs w:val="21"/>
        </w:rPr>
        <w:t>租赁需提供租赁协议。未附证明材料的设备在设备审查时视为没有该项设备。</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eastAsia" w:cs="Times New Roman"/>
          <w:b/>
          <w:bCs/>
          <w:color w:val="auto"/>
          <w:sz w:val="32"/>
          <w:szCs w:val="32"/>
          <w:highlight w:val="none"/>
          <w:u w:val="none"/>
          <w:lang w:val="en-US" w:eastAsia="zh-CN"/>
        </w:rPr>
        <w:t>武汉绕城高速公路管理处2023年沿线管理所房屋及附属设施专项维修工程项目</w:t>
      </w:r>
      <w:r>
        <w:rPr>
          <w:rFonts w:hint="default" w:ascii="Times New Roman" w:hAnsi="Times New Roman" w:cs="Times New Roman"/>
          <w:b/>
          <w:bCs/>
          <w:color w:val="auto"/>
          <w:sz w:val="32"/>
          <w:szCs w:val="32"/>
          <w:highlight w:val="none"/>
        </w:rPr>
        <w:t>工程施工</w:t>
      </w:r>
      <w:r>
        <w:rPr>
          <w:rFonts w:hint="default" w:ascii="Times New Roman" w:hAnsi="Times New Roman" w:cs="Times New Roman"/>
          <w:b/>
          <w:bCs/>
          <w:color w:val="auto"/>
          <w:sz w:val="32"/>
          <w:szCs w:val="32"/>
          <w:highlight w:val="none"/>
          <w:lang w:eastAsia="zh-CN"/>
        </w:rPr>
        <w:t>分包</w:t>
      </w:r>
      <w:r>
        <w:rPr>
          <w:rFonts w:hint="eastAsia" w:cs="Times New Roman"/>
          <w:b/>
          <w:bCs/>
          <w:color w:val="auto"/>
          <w:sz w:val="32"/>
          <w:szCs w:val="32"/>
          <w:highlight w:val="none"/>
          <w:lang w:val="en-US" w:eastAsia="zh-CN"/>
        </w:rPr>
        <w:t>询价</w:t>
      </w:r>
      <w:r>
        <w:rPr>
          <w:rFonts w:hint="default" w:ascii="Times New Roman" w:hAnsi="Times New Roman" w:cs="Times New Roman"/>
          <w:b/>
          <w:bCs/>
          <w:color w:val="auto"/>
          <w:sz w:val="32"/>
          <w:szCs w:val="32"/>
          <w:highlight w:val="none"/>
        </w:rPr>
        <w:t>申请单位报名登记表</w:t>
      </w:r>
    </w:p>
    <w:p>
      <w:pPr>
        <w:pStyle w:val="26"/>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20"/>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0"/>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0"/>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0"/>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26"/>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6"/>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highlight w:val="none"/>
        </w:rPr>
      </w:pPr>
      <w:r>
        <w:rPr>
          <w:rFonts w:hint="eastAsia" w:cs="Times New Roman"/>
          <w:b/>
          <w:bCs/>
          <w:color w:val="auto"/>
          <w:highlight w:val="none"/>
          <w:lang w:val="en-US" w:eastAsia="zh-CN"/>
        </w:rPr>
        <w:t>注：报名表发送邮箱时邮件主题应注明“***公司参与</w:t>
      </w:r>
      <w:r>
        <w:rPr>
          <w:rFonts w:hint="eastAsia" w:cs="Times New Roman"/>
          <w:b/>
          <w:bCs/>
          <w:color w:val="auto"/>
          <w:sz w:val="24"/>
          <w:szCs w:val="20"/>
          <w:highlight w:val="none"/>
          <w:u w:val="none"/>
          <w:lang w:val="en-US" w:eastAsia="zh-CN"/>
        </w:rPr>
        <w:t>武汉绕城高速公路管理处2023年沿线管理所房屋及附属设施专项维修工程项目</w:t>
      </w:r>
      <w:r>
        <w:rPr>
          <w:rFonts w:hint="eastAsia" w:cs="Times New Roman"/>
          <w:b/>
          <w:bCs/>
          <w:color w:val="auto"/>
          <w:highlight w:val="none"/>
          <w:lang w:val="en-US" w:eastAsia="zh-CN"/>
        </w:rPr>
        <w:t>询价报名”</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0"/>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0"/>
        <w:rPr>
          <w:rFonts w:hint="default" w:ascii="Times New Roman" w:hAnsi="Times New Roman" w:cs="Times New Roman"/>
          <w:color w:val="auto"/>
          <w:highlight w:val="none"/>
        </w:rPr>
      </w:pPr>
    </w:p>
    <w:p>
      <w:pPr>
        <w:pStyle w:val="2"/>
        <w:rPr>
          <w:rFonts w:hint="default"/>
        </w:rPr>
      </w:pPr>
    </w:p>
    <w:p>
      <w:pPr>
        <w:pStyle w:val="26"/>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w:t>
      </w:r>
    </w:p>
    <w:p>
      <w:pPr>
        <w:pStyle w:val="26"/>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sectPr>
      <w:footerReference r:id="rId7" w:type="default"/>
      <w:pgSz w:w="11906" w:h="16838"/>
      <w:pgMar w:top="1587" w:right="1474" w:bottom="147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宋?">
    <w:altName w:val="Malgun Gothic"/>
    <w:panose1 w:val="00000000000000000000"/>
    <w:charset w:val="81"/>
    <w:family w:val="auto"/>
    <w:pitch w:val="default"/>
    <w:sig w:usb0="00000000" w:usb1="00000000" w:usb2="00000010" w:usb3="00000000" w:csb0="0008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dXLsNdgBAACwAwAADgAAAAAAAAAB&#10;ACAAAAAiAQAAZHJzL2Uyb0RvYy54bWxQSwUGAAAAAAYABgBZAQAAbAUAAAAA&#10;">
              <v:fill on="f" focussize="0,0"/>
              <v:stroke on="f" weight="1.2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OKNRAnZAQAArgMAAA4AAAAAAAAA&#10;AQAgAAAAIgEAAGRycy9lMm9Eb2MueG1sUEsFBgAAAAAGAAYAWQEAAG0FAAAAAA==&#10;">
              <v:fill on="f" focussize="0,0"/>
              <v:stroke on="f" weight="1.2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ind w:left="0" w:leftChars="0" w:firstLine="0" w:firstLineChars="0"/>
      <w:jc w:val="left"/>
      <w:textAlignment w:val="baseline"/>
      <w:rPr>
        <w:rFonts w:hint="default"/>
        <w:sz w:val="18"/>
        <w:szCs w:val="18"/>
        <w:lang w:val="en-US"/>
      </w:rPr>
    </w:pPr>
    <w:r>
      <w:rPr>
        <w:rFonts w:hint="eastAsia" w:ascii="微软雅黑" w:hAnsi="微软雅黑" w:eastAsia="微软雅黑" w:cs="微软雅黑"/>
        <w:b w:val="0"/>
        <w:bCs w:val="0"/>
        <w:sz w:val="20"/>
        <w:szCs w:val="20"/>
        <w:u w:val="none"/>
        <w:lang w:val="en-US" w:eastAsia="zh-CN"/>
      </w:rPr>
      <w:t>武汉绕城高速公路管理处2023年沿线管理所房屋及附属设施专项维修工程</w:t>
    </w:r>
    <w:r>
      <w:rPr>
        <w:rFonts w:hint="eastAsia" w:ascii="微软雅黑" w:hAnsi="微软雅黑" w:eastAsia="微软雅黑" w:cs="微软雅黑"/>
        <w:sz w:val="20"/>
        <w:szCs w:val="20"/>
        <w:lang w:bidi="ar"/>
      </w:rPr>
      <w:t>施工分包</w:t>
    </w:r>
    <w:r>
      <w:rPr>
        <w:rFonts w:hint="eastAsia" w:ascii="微软雅黑" w:hAnsi="微软雅黑" w:eastAsia="微软雅黑" w:cs="微软雅黑"/>
        <w:sz w:val="20"/>
        <w:szCs w:val="20"/>
        <w:lang w:val="en-US" w:eastAsia="zh-CN"/>
      </w:rPr>
      <w:t xml:space="preserve">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082DB7"/>
    <w:multiLevelType w:val="singleLevel"/>
    <w:tmpl w:val="C8082D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DcyOTkxMDcwZWRlYmRhM2Q1NDQzMDdlYTU5YjQifQ=="/>
  </w:docVars>
  <w:rsids>
    <w:rsidRoot w:val="00172A27"/>
    <w:rsid w:val="00164D02"/>
    <w:rsid w:val="00605C90"/>
    <w:rsid w:val="00720425"/>
    <w:rsid w:val="02172988"/>
    <w:rsid w:val="0347598D"/>
    <w:rsid w:val="04063ED4"/>
    <w:rsid w:val="04AF464C"/>
    <w:rsid w:val="05081D70"/>
    <w:rsid w:val="06AB66A5"/>
    <w:rsid w:val="071F2CC4"/>
    <w:rsid w:val="07876842"/>
    <w:rsid w:val="07B51034"/>
    <w:rsid w:val="09B26366"/>
    <w:rsid w:val="0A847F9E"/>
    <w:rsid w:val="0B9D7085"/>
    <w:rsid w:val="0BAC0CC5"/>
    <w:rsid w:val="0C4E360D"/>
    <w:rsid w:val="0CBF2C21"/>
    <w:rsid w:val="0DBA2FA2"/>
    <w:rsid w:val="0EC62C8F"/>
    <w:rsid w:val="0F052D88"/>
    <w:rsid w:val="10743587"/>
    <w:rsid w:val="1140739B"/>
    <w:rsid w:val="124E6229"/>
    <w:rsid w:val="12875B68"/>
    <w:rsid w:val="13BB41EA"/>
    <w:rsid w:val="141A7D36"/>
    <w:rsid w:val="14433BD1"/>
    <w:rsid w:val="15876A88"/>
    <w:rsid w:val="159061AB"/>
    <w:rsid w:val="15C80420"/>
    <w:rsid w:val="16435BB9"/>
    <w:rsid w:val="18397AB6"/>
    <w:rsid w:val="186C7681"/>
    <w:rsid w:val="18F660E7"/>
    <w:rsid w:val="1912579F"/>
    <w:rsid w:val="19D14F82"/>
    <w:rsid w:val="1A350613"/>
    <w:rsid w:val="1A5423B1"/>
    <w:rsid w:val="1BCA5581"/>
    <w:rsid w:val="1C893EE7"/>
    <w:rsid w:val="1DD610C3"/>
    <w:rsid w:val="1DE55926"/>
    <w:rsid w:val="1E3529B4"/>
    <w:rsid w:val="1ED67E9A"/>
    <w:rsid w:val="1F852F53"/>
    <w:rsid w:val="20BE2057"/>
    <w:rsid w:val="22477195"/>
    <w:rsid w:val="2251442B"/>
    <w:rsid w:val="2471522D"/>
    <w:rsid w:val="260E4522"/>
    <w:rsid w:val="26E73880"/>
    <w:rsid w:val="27832F04"/>
    <w:rsid w:val="28EE0F61"/>
    <w:rsid w:val="29796C8C"/>
    <w:rsid w:val="29E40713"/>
    <w:rsid w:val="2AE8643C"/>
    <w:rsid w:val="2BDE1393"/>
    <w:rsid w:val="2F4322C2"/>
    <w:rsid w:val="3092592E"/>
    <w:rsid w:val="30E3452C"/>
    <w:rsid w:val="30FB075F"/>
    <w:rsid w:val="312A0CF6"/>
    <w:rsid w:val="32594573"/>
    <w:rsid w:val="3267118D"/>
    <w:rsid w:val="32CF160F"/>
    <w:rsid w:val="33DD6A40"/>
    <w:rsid w:val="34BB5AB0"/>
    <w:rsid w:val="363F3CA5"/>
    <w:rsid w:val="38540DD3"/>
    <w:rsid w:val="38D47E4C"/>
    <w:rsid w:val="39095CA4"/>
    <w:rsid w:val="3A7E68FA"/>
    <w:rsid w:val="3A930071"/>
    <w:rsid w:val="3AB5400D"/>
    <w:rsid w:val="3AF6248C"/>
    <w:rsid w:val="3B0E492D"/>
    <w:rsid w:val="3B1100F1"/>
    <w:rsid w:val="3C0B6E2F"/>
    <w:rsid w:val="3CA226CE"/>
    <w:rsid w:val="3CEC2C18"/>
    <w:rsid w:val="3D0222AA"/>
    <w:rsid w:val="3FC538DB"/>
    <w:rsid w:val="40ED5FE6"/>
    <w:rsid w:val="410920CD"/>
    <w:rsid w:val="416A34A2"/>
    <w:rsid w:val="419A48B7"/>
    <w:rsid w:val="42180EF1"/>
    <w:rsid w:val="42E551D7"/>
    <w:rsid w:val="43A42781"/>
    <w:rsid w:val="44AA5929"/>
    <w:rsid w:val="4627560A"/>
    <w:rsid w:val="47E67F3F"/>
    <w:rsid w:val="480F6AC1"/>
    <w:rsid w:val="4A4F3A52"/>
    <w:rsid w:val="4A5F3F4C"/>
    <w:rsid w:val="4ABC7291"/>
    <w:rsid w:val="4DE1171F"/>
    <w:rsid w:val="4E550F33"/>
    <w:rsid w:val="502D3BAC"/>
    <w:rsid w:val="50835C26"/>
    <w:rsid w:val="51797B31"/>
    <w:rsid w:val="51AC00C7"/>
    <w:rsid w:val="53943427"/>
    <w:rsid w:val="53FD6C22"/>
    <w:rsid w:val="558E7D67"/>
    <w:rsid w:val="56D0772B"/>
    <w:rsid w:val="57800B32"/>
    <w:rsid w:val="59362BC6"/>
    <w:rsid w:val="5A2322AA"/>
    <w:rsid w:val="5B56260E"/>
    <w:rsid w:val="5B7B1D70"/>
    <w:rsid w:val="5BB43EFF"/>
    <w:rsid w:val="5BC53871"/>
    <w:rsid w:val="5BF6493B"/>
    <w:rsid w:val="5FCF5AF8"/>
    <w:rsid w:val="60C2229C"/>
    <w:rsid w:val="617B30C7"/>
    <w:rsid w:val="61AD51B6"/>
    <w:rsid w:val="627A69F6"/>
    <w:rsid w:val="62A666AC"/>
    <w:rsid w:val="633F0DB0"/>
    <w:rsid w:val="64C94FF7"/>
    <w:rsid w:val="64F351D1"/>
    <w:rsid w:val="660A4C01"/>
    <w:rsid w:val="66A062DE"/>
    <w:rsid w:val="674C5602"/>
    <w:rsid w:val="682862AD"/>
    <w:rsid w:val="6A7A2F55"/>
    <w:rsid w:val="6AC537BE"/>
    <w:rsid w:val="6AED19BE"/>
    <w:rsid w:val="6B6A6E0E"/>
    <w:rsid w:val="6BCE4802"/>
    <w:rsid w:val="6BE87661"/>
    <w:rsid w:val="6DB274C6"/>
    <w:rsid w:val="6DC76061"/>
    <w:rsid w:val="6DE830E2"/>
    <w:rsid w:val="6FA0294F"/>
    <w:rsid w:val="714B61A8"/>
    <w:rsid w:val="727E3B6B"/>
    <w:rsid w:val="72E60820"/>
    <w:rsid w:val="737C6469"/>
    <w:rsid w:val="76EC374B"/>
    <w:rsid w:val="77341439"/>
    <w:rsid w:val="779C2BDE"/>
    <w:rsid w:val="78897859"/>
    <w:rsid w:val="7A0B2B9A"/>
    <w:rsid w:val="7C6463CB"/>
    <w:rsid w:val="7CC151DB"/>
    <w:rsid w:val="7E9674A2"/>
    <w:rsid w:val="7FA93B7B"/>
    <w:rsid w:val="7FD96613"/>
    <w:rsid w:val="7FDD3088"/>
    <w:rsid w:val="7FF85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4">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7"/>
    <w:semiHidden/>
    <w:unhideWhenUsed/>
    <w:qFormat/>
    <w:uiPriority w:val="0"/>
    <w:pPr>
      <w:keepNext/>
      <w:keepLines/>
      <w:outlineLvl w:val="2"/>
    </w:pPr>
    <w:rPr>
      <w:b/>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7">
    <w:name w:val="Normal Indent"/>
    <w:basedOn w:val="1"/>
    <w:next w:val="1"/>
    <w:qFormat/>
    <w:uiPriority w:val="0"/>
    <w:pPr>
      <w:ind w:firstLine="420" w:firstLineChars="200"/>
    </w:pPr>
  </w:style>
  <w:style w:type="paragraph" w:styleId="8">
    <w:name w:val="index 8"/>
    <w:basedOn w:val="1"/>
    <w:next w:val="1"/>
    <w:unhideWhenUsed/>
    <w:qFormat/>
    <w:uiPriority w:val="99"/>
    <w:pPr>
      <w:ind w:left="1400" w:leftChars="1400"/>
    </w:pPr>
  </w:style>
  <w:style w:type="paragraph" w:styleId="9">
    <w:name w:val="annotation text"/>
    <w:basedOn w:val="1"/>
    <w:next w:val="10"/>
    <w:qFormat/>
    <w:uiPriority w:val="0"/>
    <w:pPr>
      <w:jc w:val="left"/>
    </w:pPr>
  </w:style>
  <w:style w:type="paragraph" w:customStyle="1" w:styleId="10">
    <w:name w:val="无格式"/>
    <w:qFormat/>
    <w:uiPriority w:val="0"/>
    <w:pPr>
      <w:jc w:val="both"/>
    </w:pPr>
    <w:rPr>
      <w:rFonts w:ascii="宋体" w:hAnsi="宋体" w:eastAsia="宋体" w:cs="宋体"/>
      <w:sz w:val="24"/>
      <w:szCs w:val="22"/>
      <w:lang w:val="en-US" w:eastAsia="zh-CN" w:bidi="ar-SA"/>
    </w:rPr>
  </w:style>
  <w:style w:type="paragraph" w:styleId="11">
    <w:name w:val="Body Text 3"/>
    <w:basedOn w:val="1"/>
    <w:next w:val="12"/>
    <w:qFormat/>
    <w:uiPriority w:val="0"/>
    <w:pPr>
      <w:spacing w:after="120"/>
    </w:pPr>
    <w:rPr>
      <w:sz w:val="16"/>
      <w:szCs w:val="16"/>
    </w:rPr>
  </w:style>
  <w:style w:type="paragraph" w:styleId="12">
    <w:name w:val="Body Text"/>
    <w:basedOn w:val="1"/>
    <w:next w:val="1"/>
    <w:unhideWhenUsed/>
    <w:qFormat/>
    <w:uiPriority w:val="99"/>
    <w:pPr>
      <w:spacing w:after="120"/>
    </w:pPr>
  </w:style>
  <w:style w:type="paragraph" w:styleId="13">
    <w:name w:val="toc 3"/>
    <w:basedOn w:val="1"/>
    <w:next w:val="1"/>
    <w:semiHidden/>
    <w:qFormat/>
    <w:uiPriority w:val="0"/>
    <w:pPr>
      <w:tabs>
        <w:tab w:val="right" w:leader="dot" w:pos="8551"/>
      </w:tabs>
      <w:ind w:left="420"/>
    </w:pPr>
    <w:rPr>
      <w:rFonts w:ascii="黑体" w:eastAsia="黑体"/>
      <w:bCs/>
      <w:iCs/>
      <w:sz w:val="20"/>
    </w:rPr>
  </w:style>
  <w:style w:type="paragraph" w:styleId="14">
    <w:name w:val="Body Text Indent 2"/>
    <w:basedOn w:val="1"/>
    <w:next w:val="1"/>
    <w:qFormat/>
    <w:uiPriority w:val="0"/>
    <w:pPr>
      <w:spacing w:line="400" w:lineRule="exact"/>
      <w:ind w:firstLine="480" w:firstLineChars="200"/>
    </w:pPr>
    <w:rPr>
      <w:rFonts w:ascii="楷体_GB2312" w:eastAsia="楷体_GB2312"/>
    </w:rPr>
  </w:style>
  <w:style w:type="paragraph" w:styleId="15">
    <w:name w:val="footer"/>
    <w:basedOn w:val="1"/>
    <w:qFormat/>
    <w:uiPriority w:val="0"/>
    <w:pPr>
      <w:tabs>
        <w:tab w:val="center" w:pos="4153"/>
        <w:tab w:val="right" w:pos="8306"/>
      </w:tabs>
      <w:snapToGrid w:val="0"/>
      <w:spacing w:line="240" w:lineRule="atLeas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semiHidden/>
    <w:qFormat/>
    <w:uiPriority w:val="0"/>
    <w:pPr>
      <w:spacing w:before="120" w:after="120"/>
    </w:pPr>
    <w:rPr>
      <w:b/>
      <w:bCs/>
      <w:caps/>
      <w:sz w:val="20"/>
    </w:rPr>
  </w:style>
  <w:style w:type="paragraph" w:styleId="18">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19">
    <w:name w:val="Title"/>
    <w:basedOn w:val="1"/>
    <w:next w:val="1"/>
    <w:qFormat/>
    <w:uiPriority w:val="0"/>
    <w:pPr>
      <w:spacing w:before="240" w:after="60" w:line="420" w:lineRule="atLeast"/>
      <w:jc w:val="center"/>
      <w:outlineLvl w:val="0"/>
    </w:pPr>
    <w:rPr>
      <w:rFonts w:ascii="Arial" w:hAnsi="Arial"/>
      <w:b/>
      <w:sz w:val="32"/>
    </w:rPr>
  </w:style>
  <w:style w:type="paragraph" w:styleId="20">
    <w:name w:val="Body Text First Indent"/>
    <w:basedOn w:val="12"/>
    <w:next w:val="2"/>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qFormat/>
    <w:uiPriority w:val="0"/>
    <w:rPr>
      <w:color w:val="2D64B3"/>
      <w:u w:val="none"/>
    </w:rPr>
  </w:style>
  <w:style w:type="paragraph" w:customStyle="1" w:styleId="2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styleId="27">
    <w:name w:val="List Paragraph"/>
    <w:basedOn w:val="1"/>
    <w:qFormat/>
    <w:uiPriority w:val="34"/>
    <w:pPr>
      <w:spacing w:line="560" w:lineRule="exact"/>
      <w:ind w:firstLine="420" w:firstLineChars="200"/>
    </w:pPr>
    <w:rPr>
      <w:rFonts w:ascii="Calibri" w:hAnsi="Calibri" w:cs="Times New Roman"/>
      <w:szCs w:val="22"/>
    </w:rPr>
  </w:style>
  <w:style w:type="paragraph" w:customStyle="1" w:styleId="28">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29">
    <w:name w:val="正文 含缩进"/>
    <w:basedOn w:val="1"/>
    <w:qFormat/>
    <w:uiPriority w:val="0"/>
    <w:pPr>
      <w:spacing w:line="360" w:lineRule="auto"/>
      <w:ind w:firstLine="424" w:firstLineChars="202"/>
    </w:pPr>
    <w:rPr>
      <w:sz w:val="20"/>
    </w:rPr>
  </w:style>
  <w:style w:type="table" w:customStyle="1" w:styleId="30">
    <w:name w:val="Table Normal"/>
    <w:basedOn w:val="2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140</Pages>
  <Words>60434</Words>
  <Characters>63579</Characters>
  <Lines>1</Lines>
  <Paragraphs>1</Paragraphs>
  <TotalTime>911</TotalTime>
  <ScaleCrop>false</ScaleCrop>
  <LinksUpToDate>false</LinksUpToDate>
  <CharactersWithSpaces>70074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2021-04-07T06:15:00Z</dcterms:created>
  <dc:creator>lenovo</dc:creator>
  <cp:lastModifiedBy>SK</cp:lastModifiedBy>
  <dcterms:modified xsi:type="dcterms:W3CDTF">2023-07-18T06:23:03Z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D72D31B46E3D49039A31F554858EE9C3_13</vt:lpwstr>
  </property>
</Properties>
</file>